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6B7DC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0DE867F7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27E91791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2D9DCD04" w14:textId="4A9786ED" w:rsidR="00C27B23" w:rsidRPr="0041405A" w:rsidRDefault="00684B6D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</w:rPr>
        <w:t xml:space="preserve">La rilevazione è iniziata in data 09.06.2022 ed è proseguita fino al 30.06.2022, concludendosi, dunque, lo stesso giorno. </w:t>
      </w:r>
    </w:p>
    <w:p w14:paraId="19CED1D8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2E551892" w14:textId="77777777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119C6F5C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205F150C" w14:textId="30C84468" w:rsidR="00C27B23" w:rsidRDefault="00FE66A4" w:rsidP="00FE66A4">
      <w:pPr>
        <w:spacing w:after="0" w:line="276" w:lineRule="auto"/>
        <w:rPr>
          <w:rFonts w:ascii="Titillium" w:hAnsi="Titillium"/>
          <w:sz w:val="20"/>
          <w:szCs w:val="20"/>
        </w:rPr>
      </w:pPr>
      <w:r w:rsidRPr="00FE66A4">
        <w:rPr>
          <w:rFonts w:ascii="Titillium" w:hAnsi="Titillium"/>
          <w:sz w:val="20"/>
          <w:szCs w:val="20"/>
        </w:rPr>
        <w:t>Non essendo presenti Uffici periferici, il dato non è disponibile.</w:t>
      </w:r>
    </w:p>
    <w:p w14:paraId="0DF5141D" w14:textId="77777777" w:rsidR="00FE66A4" w:rsidRPr="00FE66A4" w:rsidRDefault="00FE66A4" w:rsidP="00FE66A4">
      <w:pPr>
        <w:spacing w:after="0" w:line="276" w:lineRule="auto"/>
        <w:rPr>
          <w:rFonts w:ascii="Titillium" w:hAnsi="Titillium"/>
          <w:sz w:val="20"/>
          <w:szCs w:val="20"/>
        </w:rPr>
      </w:pPr>
    </w:p>
    <w:p w14:paraId="7AB742B3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59D89992" w14:textId="77777777" w:rsidR="00FE66A4" w:rsidRPr="00B169AD" w:rsidRDefault="00FE66A4" w:rsidP="00FE66A4">
      <w:pPr>
        <w:pStyle w:val="Default"/>
        <w:tabs>
          <w:tab w:val="left" w:pos="0"/>
        </w:tabs>
        <w:spacing w:line="360" w:lineRule="auto"/>
        <w:jc w:val="both"/>
        <w:rPr>
          <w:rFonts w:ascii="Titillium" w:eastAsia="Times New Roman" w:hAnsi="Titillium" w:cs="Cambria"/>
          <w:color w:val="auto"/>
          <w:sz w:val="20"/>
          <w:szCs w:val="20"/>
          <w:lang w:eastAsia="ar-SA"/>
        </w:rPr>
      </w:pPr>
      <w:r w:rsidRPr="00B169AD">
        <w:rPr>
          <w:rFonts w:ascii="Titillium" w:eastAsia="Times New Roman" w:hAnsi="Titillium" w:cs="Cambria"/>
          <w:color w:val="auto"/>
          <w:sz w:val="20"/>
          <w:szCs w:val="20"/>
          <w:lang w:eastAsia="ar-SA"/>
        </w:rPr>
        <w:t>Si indicano, di seguito, il procedimento e le modalità seguite per condurre la rilevazione.</w:t>
      </w:r>
    </w:p>
    <w:p w14:paraId="658852E0" w14:textId="77777777" w:rsidR="00FE66A4" w:rsidRPr="00B169AD" w:rsidRDefault="00FE66A4" w:rsidP="00FE66A4">
      <w:pPr>
        <w:pStyle w:val="Default"/>
        <w:tabs>
          <w:tab w:val="left" w:pos="0"/>
        </w:tabs>
        <w:spacing w:line="360" w:lineRule="auto"/>
        <w:jc w:val="both"/>
        <w:rPr>
          <w:rFonts w:ascii="Titillium" w:eastAsia="Times New Roman" w:hAnsi="Titillium" w:cs="Cambria"/>
          <w:color w:val="auto"/>
          <w:sz w:val="20"/>
          <w:szCs w:val="20"/>
          <w:lang w:eastAsia="ar-SA"/>
        </w:rPr>
      </w:pPr>
      <w:r w:rsidRPr="00B169AD">
        <w:rPr>
          <w:rFonts w:ascii="Titillium" w:eastAsia="Times New Roman" w:hAnsi="Titillium" w:cs="Cambria"/>
          <w:color w:val="auto"/>
          <w:sz w:val="20"/>
          <w:szCs w:val="20"/>
          <w:lang w:eastAsia="ar-SA"/>
        </w:rPr>
        <w:t>Le modalità seguite sono appresso indicate:</w:t>
      </w:r>
    </w:p>
    <w:p w14:paraId="39E0373D" w14:textId="00AD026E" w:rsidR="00FE66A4" w:rsidRPr="00B169AD" w:rsidRDefault="00FE66A4" w:rsidP="00FE66A4">
      <w:pPr>
        <w:pStyle w:val="Default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Titillium" w:eastAsia="Times New Roman" w:hAnsi="Titillium" w:cs="Cambria"/>
          <w:color w:val="auto"/>
          <w:sz w:val="20"/>
          <w:szCs w:val="20"/>
          <w:lang w:eastAsia="ar-SA"/>
        </w:rPr>
      </w:pPr>
      <w:r>
        <w:rPr>
          <w:rFonts w:ascii="Titillium" w:eastAsia="Times New Roman" w:hAnsi="Titillium" w:cs="Cambria"/>
          <w:color w:val="auto"/>
          <w:sz w:val="20"/>
          <w:szCs w:val="20"/>
          <w:lang w:eastAsia="ar-SA"/>
        </w:rPr>
        <w:t>richieste di informazioni ai Responsabili della trasmissione e della pubblicazione dei dati, scambio di mail</w:t>
      </w:r>
      <w:r w:rsidRPr="00B169AD">
        <w:rPr>
          <w:rFonts w:ascii="Titillium" w:eastAsia="Times New Roman" w:hAnsi="Titillium" w:cs="Cambria"/>
          <w:color w:val="auto"/>
          <w:sz w:val="20"/>
          <w:szCs w:val="20"/>
          <w:lang w:eastAsia="ar-SA"/>
        </w:rPr>
        <w:t>;</w:t>
      </w:r>
    </w:p>
    <w:p w14:paraId="15B82572" w14:textId="2F9A5B2D" w:rsidR="00FE66A4" w:rsidRDefault="00FE66A4" w:rsidP="00FE66A4">
      <w:pPr>
        <w:pStyle w:val="Default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Titillium" w:eastAsia="Times New Roman" w:hAnsi="Titillium" w:cs="Cambria"/>
          <w:color w:val="auto"/>
          <w:sz w:val="20"/>
          <w:szCs w:val="20"/>
          <w:lang w:eastAsia="ar-SA"/>
        </w:rPr>
      </w:pPr>
      <w:r w:rsidRPr="00B169AD">
        <w:rPr>
          <w:rFonts w:ascii="Titillium" w:eastAsia="Times New Roman" w:hAnsi="Titillium" w:cs="Cambria"/>
          <w:color w:val="auto"/>
          <w:sz w:val="20"/>
          <w:szCs w:val="20"/>
          <w:lang w:eastAsia="ar-SA"/>
        </w:rPr>
        <w:t>verifica diretta sul sito istituzionale, attraverso l’utilizzo di supporti informatici</w:t>
      </w:r>
      <w:r>
        <w:rPr>
          <w:rFonts w:ascii="Titillium" w:eastAsia="Times New Roman" w:hAnsi="Titillium" w:cs="Cambria"/>
          <w:color w:val="auto"/>
          <w:sz w:val="20"/>
          <w:szCs w:val="20"/>
          <w:lang w:eastAsia="ar-SA"/>
        </w:rPr>
        <w:t>;</w:t>
      </w:r>
    </w:p>
    <w:p w14:paraId="24554DFA" w14:textId="13F3403F" w:rsidR="00C27B23" w:rsidRPr="00FE66A4" w:rsidRDefault="0048249A" w:rsidP="00FE66A4">
      <w:pPr>
        <w:pStyle w:val="Default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Titillium" w:eastAsia="Times New Roman" w:hAnsi="Titillium" w:cs="Cambria"/>
          <w:color w:val="auto"/>
          <w:sz w:val="20"/>
          <w:szCs w:val="20"/>
          <w:lang w:eastAsia="ar-SA"/>
        </w:rPr>
      </w:pPr>
      <w:r w:rsidRPr="0041405A">
        <w:rPr>
          <w:rFonts w:ascii="Titillium" w:hAnsi="Titillium"/>
          <w:sz w:val="20"/>
          <w:szCs w:val="20"/>
        </w:rPr>
        <w:t>esame della documentazione e delle banche dati relative ai dati oggetto di attestazione</w:t>
      </w:r>
      <w:r w:rsidR="00FE66A4">
        <w:rPr>
          <w:rFonts w:ascii="Titillium" w:hAnsi="Titillium"/>
          <w:sz w:val="20"/>
          <w:szCs w:val="20"/>
        </w:rPr>
        <w:t>.</w:t>
      </w:r>
    </w:p>
    <w:p w14:paraId="6D8317CE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593537CA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69AA2742" w14:textId="77777777" w:rsidR="00C27B23" w:rsidRPr="00EE642B" w:rsidRDefault="00515AC3">
      <w:pPr>
        <w:spacing w:line="360" w:lineRule="auto"/>
        <w:rPr>
          <w:rFonts w:ascii="Titillium" w:hAnsi="Titillium"/>
          <w:sz w:val="20"/>
          <w:szCs w:val="20"/>
        </w:rPr>
      </w:pPr>
      <w:r w:rsidRPr="00EE642B">
        <w:rPr>
          <w:rFonts w:ascii="Titillium" w:hAnsi="Titillium"/>
          <w:sz w:val="20"/>
          <w:szCs w:val="20"/>
        </w:rPr>
        <w:t>Con riferimento alla prima sezione oggetto di analisi (“Consulenti e collaboratori”) si rileva la presenza di tutti i dati richiesti.</w:t>
      </w:r>
    </w:p>
    <w:p w14:paraId="0322319B" w14:textId="5291A505" w:rsidR="00515AC3" w:rsidRPr="00EE642B" w:rsidRDefault="00515AC3">
      <w:pPr>
        <w:spacing w:line="360" w:lineRule="auto"/>
        <w:rPr>
          <w:rFonts w:ascii="Titillium" w:hAnsi="Titillium"/>
          <w:sz w:val="20"/>
          <w:szCs w:val="20"/>
        </w:rPr>
      </w:pPr>
      <w:r w:rsidRPr="00EE642B">
        <w:rPr>
          <w:rFonts w:ascii="Titillium" w:hAnsi="Titillium"/>
          <w:sz w:val="20"/>
          <w:szCs w:val="20"/>
        </w:rPr>
        <w:t>In merito agli estremi di conferimento dell’incarico risultano pubblicati i preventivi/contratti firmati dal titolare del potere di rappresentanza dell’Ente</w:t>
      </w:r>
      <w:r w:rsidR="00FE66A4">
        <w:rPr>
          <w:rFonts w:ascii="Titillium" w:hAnsi="Titillium"/>
          <w:sz w:val="20"/>
          <w:szCs w:val="20"/>
        </w:rPr>
        <w:t xml:space="preserve">. </w:t>
      </w:r>
      <w:r w:rsidR="000D44D8" w:rsidRPr="00EE642B">
        <w:rPr>
          <w:rFonts w:ascii="Titillium" w:hAnsi="Titillium"/>
          <w:sz w:val="20"/>
          <w:szCs w:val="20"/>
        </w:rPr>
        <w:t xml:space="preserve">L’oggetto della prestazione è </w:t>
      </w:r>
      <w:r w:rsidR="00FE66A4">
        <w:rPr>
          <w:rFonts w:ascii="Titillium" w:hAnsi="Titillium"/>
          <w:sz w:val="20"/>
          <w:szCs w:val="20"/>
        </w:rPr>
        <w:t xml:space="preserve">invece </w:t>
      </w:r>
      <w:r w:rsidR="000D44D8" w:rsidRPr="00EE642B">
        <w:rPr>
          <w:rFonts w:ascii="Titillium" w:hAnsi="Titillium"/>
          <w:sz w:val="20"/>
          <w:szCs w:val="20"/>
        </w:rPr>
        <w:t xml:space="preserve">indicato nel titolo stesso dalla pagina di riferimento; la ragione dell’incarico, </w:t>
      </w:r>
      <w:r w:rsidR="00FE66A4">
        <w:rPr>
          <w:rFonts w:ascii="Titillium" w:hAnsi="Titillium"/>
          <w:sz w:val="20"/>
          <w:szCs w:val="20"/>
        </w:rPr>
        <w:t>infine</w:t>
      </w:r>
      <w:r w:rsidR="000D44D8" w:rsidRPr="00EE642B">
        <w:rPr>
          <w:rFonts w:ascii="Titillium" w:hAnsi="Titillium"/>
          <w:sz w:val="20"/>
          <w:szCs w:val="20"/>
        </w:rPr>
        <w:t xml:space="preserve">, è riportata nel campo “Note”. </w:t>
      </w:r>
    </w:p>
    <w:p w14:paraId="51D5C9FE" w14:textId="77777777" w:rsidR="000D44D8" w:rsidRPr="00EE642B" w:rsidRDefault="000D44D8">
      <w:pPr>
        <w:spacing w:line="360" w:lineRule="auto"/>
        <w:rPr>
          <w:rFonts w:ascii="Titillium" w:hAnsi="Titillium"/>
          <w:sz w:val="20"/>
          <w:szCs w:val="20"/>
        </w:rPr>
      </w:pPr>
      <w:r w:rsidRPr="00EE642B">
        <w:rPr>
          <w:rFonts w:ascii="Titillium" w:hAnsi="Titillium"/>
          <w:sz w:val="20"/>
          <w:szCs w:val="20"/>
        </w:rPr>
        <w:t>La durata dell’incarico è espressamente indicata nell’apposito campo, così come risultano pubblicati i CV.</w:t>
      </w:r>
    </w:p>
    <w:p w14:paraId="11B30872" w14:textId="77777777" w:rsidR="00515AC3" w:rsidRDefault="00515AC3">
      <w:pPr>
        <w:spacing w:line="360" w:lineRule="auto"/>
        <w:rPr>
          <w:rFonts w:ascii="Titillium" w:hAnsi="Titillium"/>
          <w:sz w:val="20"/>
          <w:szCs w:val="20"/>
        </w:rPr>
      </w:pPr>
      <w:r w:rsidRPr="00EE642B">
        <w:rPr>
          <w:rFonts w:ascii="Titillium" w:hAnsi="Titillium"/>
          <w:sz w:val="20"/>
          <w:szCs w:val="20"/>
        </w:rPr>
        <w:t>I dati risultano pubblicati anche in forma tabellare in formato .csv.</w:t>
      </w:r>
    </w:p>
    <w:p w14:paraId="1C57A880" w14:textId="3874942C" w:rsidR="00EE642B" w:rsidRDefault="00EE642B">
      <w:pPr>
        <w:spacing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I dati relativi al Collegio sindacale non risultano pubblicati in questa sezione per precisa scelta della società che ha tuttavia indicato tutti i dati previsti nella sezione “Organizzazione – Titolari di incarichi politici, di amministrazione, di direzione e di governo”.</w:t>
      </w:r>
    </w:p>
    <w:p w14:paraId="14393B84" w14:textId="03A9537B" w:rsidR="00892D8C" w:rsidRPr="00FE66A4" w:rsidRDefault="00FE66A4" w:rsidP="001A7B07">
      <w:pPr>
        <w:spacing w:line="360" w:lineRule="auto"/>
        <w:rPr>
          <w:rFonts w:ascii="Titillium" w:hAnsi="Titillium"/>
          <w:b/>
          <w:sz w:val="20"/>
          <w:szCs w:val="20"/>
        </w:rPr>
      </w:pPr>
      <w:r>
        <w:rPr>
          <w:rFonts w:ascii="Titillium" w:hAnsi="Titillium"/>
          <w:sz w:val="20"/>
          <w:szCs w:val="20"/>
        </w:rPr>
        <w:t>Con riferimento, invece, alla Sezione</w:t>
      </w:r>
      <w:r w:rsidR="00F05FC8" w:rsidRPr="00FE66A4">
        <w:rPr>
          <w:rFonts w:ascii="Titillium" w:hAnsi="Titillium"/>
          <w:sz w:val="20"/>
          <w:szCs w:val="20"/>
        </w:rPr>
        <w:t xml:space="preserve"> “Enti controllati”</w:t>
      </w:r>
      <w:r w:rsidRPr="00FE66A4">
        <w:rPr>
          <w:rFonts w:ascii="Titillium" w:hAnsi="Titillium"/>
          <w:sz w:val="20"/>
          <w:szCs w:val="20"/>
        </w:rPr>
        <w:t xml:space="preserve"> - </w:t>
      </w:r>
      <w:r w:rsidR="00EE642B" w:rsidRPr="00FE66A4">
        <w:rPr>
          <w:rFonts w:ascii="Titillium" w:hAnsi="Titillium"/>
          <w:sz w:val="20"/>
          <w:szCs w:val="20"/>
        </w:rPr>
        <w:t>Sotto-sezione “Società partecipate”</w:t>
      </w:r>
      <w:r w:rsidRPr="00FE66A4">
        <w:rPr>
          <w:rFonts w:ascii="Titillium" w:hAnsi="Titillium"/>
          <w:sz w:val="20"/>
          <w:szCs w:val="20"/>
        </w:rPr>
        <w:t xml:space="preserve">, </w:t>
      </w:r>
      <w:r w:rsidR="00892D8C" w:rsidRPr="00FE66A4">
        <w:rPr>
          <w:rFonts w:ascii="Titillium" w:hAnsi="Titillium"/>
          <w:sz w:val="20"/>
          <w:szCs w:val="20"/>
        </w:rPr>
        <w:t>si evidenzia che tutti i dati risultano essere stati correttamente ind</w:t>
      </w:r>
      <w:r w:rsidR="00335001" w:rsidRPr="00FE66A4">
        <w:rPr>
          <w:rFonts w:ascii="Titillium" w:hAnsi="Titillium"/>
          <w:sz w:val="20"/>
          <w:szCs w:val="20"/>
        </w:rPr>
        <w:t>icati</w:t>
      </w:r>
      <w:r w:rsidRPr="00FE66A4">
        <w:rPr>
          <w:rFonts w:ascii="Titillium" w:hAnsi="Titillium"/>
          <w:sz w:val="20"/>
          <w:szCs w:val="20"/>
        </w:rPr>
        <w:t xml:space="preserve"> (rispettando forma tabellare)</w:t>
      </w:r>
      <w:r w:rsidR="00892D8C" w:rsidRPr="00FE66A4">
        <w:rPr>
          <w:rFonts w:ascii="Titillium" w:hAnsi="Titillium"/>
          <w:sz w:val="20"/>
          <w:szCs w:val="20"/>
        </w:rPr>
        <w:t xml:space="preserve"> e anche i link</w:t>
      </w:r>
      <w:r w:rsidR="00892D8C" w:rsidRPr="00F05FC8">
        <w:rPr>
          <w:rFonts w:ascii="Titillium" w:hAnsi="Titillium"/>
          <w:sz w:val="20"/>
          <w:szCs w:val="20"/>
        </w:rPr>
        <w:t xml:space="preserve"> sono correttamente riportati nella sezione apposita. Cliccando sui link </w:t>
      </w:r>
      <w:r w:rsidR="007F110E" w:rsidRPr="00F05FC8">
        <w:rPr>
          <w:rFonts w:ascii="Titillium" w:hAnsi="Titillium"/>
          <w:sz w:val="20"/>
          <w:szCs w:val="20"/>
        </w:rPr>
        <w:t>predispos</w:t>
      </w:r>
      <w:r w:rsidR="007F110E">
        <w:rPr>
          <w:rFonts w:ascii="Titillium" w:hAnsi="Titillium"/>
          <w:sz w:val="20"/>
          <w:szCs w:val="20"/>
        </w:rPr>
        <w:t>ti</w:t>
      </w:r>
      <w:r>
        <w:rPr>
          <w:rFonts w:ascii="Titillium" w:hAnsi="Titillium"/>
          <w:sz w:val="20"/>
          <w:szCs w:val="20"/>
        </w:rPr>
        <w:t>, le</w:t>
      </w:r>
      <w:r w:rsidR="00892D8C" w:rsidRPr="00F05FC8">
        <w:rPr>
          <w:rFonts w:ascii="Titillium" w:hAnsi="Titillium"/>
          <w:sz w:val="20"/>
          <w:szCs w:val="20"/>
        </w:rPr>
        <w:t xml:space="preserve"> dichiarazioni sulla insussistenza di cause di </w:t>
      </w:r>
      <w:proofErr w:type="spellStart"/>
      <w:r w:rsidR="00892D8C" w:rsidRPr="00F05FC8">
        <w:rPr>
          <w:rFonts w:ascii="Titillium" w:hAnsi="Titillium"/>
          <w:sz w:val="20"/>
          <w:szCs w:val="20"/>
        </w:rPr>
        <w:t>inconferibilità</w:t>
      </w:r>
      <w:proofErr w:type="spellEnd"/>
      <w:r w:rsidR="00892D8C" w:rsidRPr="00F05FC8">
        <w:rPr>
          <w:rFonts w:ascii="Titillium" w:hAnsi="Titillium"/>
          <w:sz w:val="20"/>
          <w:szCs w:val="20"/>
        </w:rPr>
        <w:t>/incompatibilità risultano essere pubblicate, eccezion fatta per il Presidente di una delle società partecipate, pur essendo stata la pubblicazione soll</w:t>
      </w:r>
      <w:r w:rsidR="000F0DE0">
        <w:rPr>
          <w:rFonts w:ascii="Titillium" w:hAnsi="Titillium"/>
          <w:sz w:val="20"/>
          <w:szCs w:val="20"/>
        </w:rPr>
        <w:t xml:space="preserve">ecitata dalla </w:t>
      </w:r>
      <w:proofErr w:type="spellStart"/>
      <w:r w:rsidR="000F0DE0">
        <w:rPr>
          <w:rFonts w:ascii="Titillium" w:hAnsi="Titillium"/>
          <w:sz w:val="20"/>
          <w:szCs w:val="20"/>
        </w:rPr>
        <w:t>Cosev</w:t>
      </w:r>
      <w:proofErr w:type="spellEnd"/>
      <w:r w:rsidR="000F0DE0">
        <w:rPr>
          <w:rFonts w:ascii="Titillium" w:hAnsi="Titillium"/>
          <w:sz w:val="20"/>
          <w:szCs w:val="20"/>
        </w:rPr>
        <w:t xml:space="preserve"> Servizi Spa.</w:t>
      </w:r>
      <w:r w:rsidR="0035120A">
        <w:rPr>
          <w:rFonts w:ascii="Titillium" w:hAnsi="Titillium"/>
          <w:sz w:val="20"/>
          <w:szCs w:val="20"/>
        </w:rPr>
        <w:t xml:space="preserve"> Tale mancanza, che risulta comunque imputabile alla società partecipata, è stata motivata con richiamo al contenzioso</w:t>
      </w:r>
      <w:r w:rsidR="007F110E">
        <w:rPr>
          <w:rFonts w:ascii="Titillium" w:hAnsi="Titillium"/>
          <w:sz w:val="20"/>
          <w:szCs w:val="20"/>
        </w:rPr>
        <w:t xml:space="preserve"> (ancora in corso)</w:t>
      </w:r>
      <w:r w:rsidR="0035120A">
        <w:rPr>
          <w:rFonts w:ascii="Titillium" w:hAnsi="Titillium"/>
          <w:sz w:val="20"/>
          <w:szCs w:val="20"/>
        </w:rPr>
        <w:t xml:space="preserve"> </w:t>
      </w:r>
      <w:r w:rsidR="007F110E">
        <w:rPr>
          <w:rFonts w:ascii="Titillium" w:hAnsi="Titillium"/>
          <w:sz w:val="20"/>
          <w:szCs w:val="20"/>
        </w:rPr>
        <w:t xml:space="preserve">avente ad oggetto la nomina dell’organo amministrativo della stessa partecipata. </w:t>
      </w:r>
    </w:p>
    <w:p w14:paraId="72ACE2A2" w14:textId="11F458D3" w:rsidR="00590AAA" w:rsidRDefault="00335001" w:rsidP="001A7B07">
      <w:pPr>
        <w:spacing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lastRenderedPageBreak/>
        <w:t xml:space="preserve">Con specifico riferimento agli oneri gravanti sulla società vengono segnalati oneri derivanti dalla partecipazione </w:t>
      </w:r>
      <w:proofErr w:type="spellStart"/>
      <w:r>
        <w:rPr>
          <w:rFonts w:ascii="Titillium" w:hAnsi="Titillium"/>
          <w:sz w:val="20"/>
          <w:szCs w:val="20"/>
        </w:rPr>
        <w:t>Unigas</w:t>
      </w:r>
      <w:proofErr w:type="spellEnd"/>
      <w:r>
        <w:rPr>
          <w:rFonts w:ascii="Titillium" w:hAnsi="Titillium"/>
          <w:sz w:val="20"/>
          <w:szCs w:val="20"/>
        </w:rPr>
        <w:t xml:space="preserve"> </w:t>
      </w:r>
      <w:proofErr w:type="spellStart"/>
      <w:r>
        <w:rPr>
          <w:rFonts w:ascii="Titillium" w:hAnsi="Titillium"/>
          <w:sz w:val="20"/>
          <w:szCs w:val="20"/>
        </w:rPr>
        <w:t>Srl</w:t>
      </w:r>
      <w:proofErr w:type="spellEnd"/>
      <w:r>
        <w:rPr>
          <w:rFonts w:ascii="Titillium" w:hAnsi="Titillium"/>
          <w:sz w:val="20"/>
          <w:szCs w:val="20"/>
        </w:rPr>
        <w:t xml:space="preserve"> nell’anno 2019; non risultano noti ulteriori oneri, pur dovendo segnalare che il bilancio </w:t>
      </w:r>
      <w:proofErr w:type="spellStart"/>
      <w:r>
        <w:rPr>
          <w:rFonts w:ascii="Titillium" w:hAnsi="Titillium"/>
          <w:sz w:val="20"/>
          <w:szCs w:val="20"/>
        </w:rPr>
        <w:t>Unigas</w:t>
      </w:r>
      <w:proofErr w:type="spellEnd"/>
      <w:r>
        <w:rPr>
          <w:rFonts w:ascii="Titillium" w:hAnsi="Titillium"/>
          <w:sz w:val="20"/>
          <w:szCs w:val="20"/>
        </w:rPr>
        <w:t xml:space="preserve"> al 31.12.2021 non risulta ancora approvato.</w:t>
      </w:r>
    </w:p>
    <w:p w14:paraId="66004089" w14:textId="3C0F1597" w:rsidR="007F110E" w:rsidRDefault="007F110E" w:rsidP="001A7B07">
      <w:pPr>
        <w:spacing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Al fine di verificare la completezza dei dati esposti si è ritenuta necessaria una comparazione con le informazioni contenute nella nota integrativa dell’ultimo bilancio approvato. Risulta presente una partecipazione nella società “Giulianova Distribuzione S.r.l.”: a seguito di espressa richiesta di visura camerale risulta tuttavia che la stessa sia ormai stata cancellata d’ufficio dal Registro delle imprese in data 09/10/2019.</w:t>
      </w:r>
    </w:p>
    <w:p w14:paraId="3462EA7A" w14:textId="1C5ACA79" w:rsidR="00A6278D" w:rsidRDefault="007F110E" w:rsidP="007F110E">
      <w:pPr>
        <w:spacing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Un’altra partecipazione (del valore di </w:t>
      </w:r>
      <w:r w:rsidR="00590AAA">
        <w:rPr>
          <w:rFonts w:ascii="Titillium" w:hAnsi="Titillium"/>
          <w:sz w:val="20"/>
          <w:szCs w:val="20"/>
        </w:rPr>
        <w:t xml:space="preserve">2.500 </w:t>
      </w:r>
      <w:r>
        <w:rPr>
          <w:rFonts w:ascii="Titillium" w:hAnsi="Titillium"/>
          <w:sz w:val="20"/>
          <w:szCs w:val="20"/>
        </w:rPr>
        <w:t>eu</w:t>
      </w:r>
      <w:r w:rsidRPr="001E0DDF">
        <w:rPr>
          <w:rFonts w:ascii="Titillium" w:hAnsi="Titillium"/>
          <w:sz w:val="20"/>
          <w:szCs w:val="20"/>
        </w:rPr>
        <w:t>ro) risulta essere riferita ad una Fondazione</w:t>
      </w:r>
      <w:r w:rsidR="00D01CFA" w:rsidRPr="001E0DDF">
        <w:rPr>
          <w:rFonts w:ascii="Titillium" w:hAnsi="Titillium"/>
          <w:sz w:val="20"/>
          <w:szCs w:val="20"/>
        </w:rPr>
        <w:t xml:space="preserve">, la quale, tuttavia, non risulta essere controllata, né vigilata e per la quale non risultano essere previsti, in capo alla </w:t>
      </w:r>
      <w:proofErr w:type="spellStart"/>
      <w:r w:rsidR="00D01CFA" w:rsidRPr="001E0DDF">
        <w:rPr>
          <w:rFonts w:ascii="Titillium" w:hAnsi="Titillium"/>
          <w:sz w:val="20"/>
          <w:szCs w:val="20"/>
        </w:rPr>
        <w:t>Cosev</w:t>
      </w:r>
      <w:proofErr w:type="spellEnd"/>
      <w:r w:rsidR="00D01CFA" w:rsidRPr="001E0DDF">
        <w:rPr>
          <w:rFonts w:ascii="Titillium" w:hAnsi="Titillium"/>
          <w:sz w:val="20"/>
          <w:szCs w:val="20"/>
        </w:rPr>
        <w:t xml:space="preserve"> S.p.A., poteri di nomina dei vertici o dei componenti degli organi.</w:t>
      </w:r>
    </w:p>
    <w:p w14:paraId="51CA29C7" w14:textId="2CB6DDFC" w:rsidR="00CE5F50" w:rsidRDefault="00152B05" w:rsidP="001A7B07">
      <w:pPr>
        <w:spacing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Non risultano esservi enti di diritto privato controllati.</w:t>
      </w:r>
    </w:p>
    <w:p w14:paraId="7E6EC99C" w14:textId="1607DC13" w:rsidR="00152B05" w:rsidRDefault="00152B05" w:rsidP="001A7B07">
      <w:pPr>
        <w:spacing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Sul sito internet è infine riportata la richiesta rappresentazione grafica, la quale, tuttavia, è in formato immagine e non </w:t>
      </w:r>
      <w:r w:rsidRPr="00684B6D">
        <w:rPr>
          <w:rFonts w:ascii="Titillium" w:hAnsi="Titillium"/>
          <w:sz w:val="20"/>
          <w:szCs w:val="20"/>
        </w:rPr>
        <w:t xml:space="preserve">risulta </w:t>
      </w:r>
      <w:r w:rsidR="00382265" w:rsidRPr="00684B6D">
        <w:rPr>
          <w:rFonts w:ascii="Titillium" w:hAnsi="Titillium"/>
          <w:sz w:val="20"/>
          <w:szCs w:val="20"/>
        </w:rPr>
        <w:t>in formato aperto ed elaborabile</w:t>
      </w:r>
      <w:r w:rsidRPr="00684B6D">
        <w:rPr>
          <w:rFonts w:ascii="Titillium" w:hAnsi="Titillium"/>
          <w:sz w:val="20"/>
          <w:szCs w:val="20"/>
        </w:rPr>
        <w:t>.</w:t>
      </w:r>
      <w:r>
        <w:rPr>
          <w:rFonts w:ascii="Titillium" w:hAnsi="Titillium"/>
          <w:sz w:val="20"/>
          <w:szCs w:val="20"/>
        </w:rPr>
        <w:t xml:space="preserve"> </w:t>
      </w:r>
    </w:p>
    <w:p w14:paraId="53B1A0DE" w14:textId="74BFC66E" w:rsidR="00CE5F50" w:rsidRDefault="00382265" w:rsidP="001A7B07">
      <w:pPr>
        <w:spacing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Con riferimento alla Sezione “Sovvenzioni, contributi, sussidi, vantaggi economici”, nella sotto-sezione “Criteri e modalità” è richiamata la seguente dicitura: “</w:t>
      </w:r>
      <w:r w:rsidRPr="00382265">
        <w:rPr>
          <w:rFonts w:ascii="Titillium" w:hAnsi="Titillium"/>
          <w:i/>
          <w:iCs/>
          <w:sz w:val="20"/>
          <w:szCs w:val="20"/>
        </w:rPr>
        <w:t>Non essendo prevista la concessione di sovvenzioni, contributi, sussidi ed ausili finanziari e l'attribuzione di vantaggi economici di qualunque genere a persone ed enti pubblici privati, non si rende necessaria la definizione di atti volti a determinarne i criteri e le modalità</w:t>
      </w:r>
      <w:r>
        <w:rPr>
          <w:rFonts w:ascii="Titillium" w:hAnsi="Titillium"/>
          <w:sz w:val="20"/>
          <w:szCs w:val="20"/>
        </w:rPr>
        <w:t>”</w:t>
      </w:r>
      <w:r w:rsidRPr="00382265">
        <w:rPr>
          <w:rFonts w:ascii="Titillium" w:hAnsi="Titillium"/>
          <w:sz w:val="20"/>
          <w:szCs w:val="20"/>
        </w:rPr>
        <w:t>.</w:t>
      </w:r>
    </w:p>
    <w:p w14:paraId="7C2C62AB" w14:textId="6358AE09" w:rsidR="00382265" w:rsidRDefault="00382265" w:rsidP="001A7B07">
      <w:pPr>
        <w:spacing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Non risultano inoltre presenti atti di concessione. </w:t>
      </w:r>
    </w:p>
    <w:p w14:paraId="0C86779D" w14:textId="0D3A856E" w:rsidR="00CE5F50" w:rsidRDefault="00382265" w:rsidP="001A7B07">
      <w:pPr>
        <w:spacing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Nella Sezione </w:t>
      </w:r>
      <w:r w:rsidR="00CE5F50">
        <w:rPr>
          <w:rFonts w:ascii="Titillium" w:hAnsi="Titillium"/>
          <w:sz w:val="20"/>
          <w:szCs w:val="20"/>
        </w:rPr>
        <w:t>“Bilancio”</w:t>
      </w:r>
      <w:r>
        <w:rPr>
          <w:rFonts w:ascii="Titillium" w:hAnsi="Titillium"/>
          <w:sz w:val="20"/>
          <w:szCs w:val="20"/>
        </w:rPr>
        <w:t xml:space="preserve"> i</w:t>
      </w:r>
      <w:r w:rsidR="00CE5F50">
        <w:rPr>
          <w:rFonts w:ascii="Titillium" w:hAnsi="Titillium"/>
          <w:sz w:val="20"/>
          <w:szCs w:val="20"/>
        </w:rPr>
        <w:t>l bilancio risulta essere stato tempestivamente pubblicato. Il bilancio al 31.12.2021 non è ancora presente non essendo stato ancora approvato.</w:t>
      </w:r>
    </w:p>
    <w:p w14:paraId="1DA76BD9" w14:textId="6DC23996" w:rsidR="00CE5F50" w:rsidRDefault="00CE5F50" w:rsidP="001A7B07">
      <w:pPr>
        <w:spacing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Il documento è pubblicato in formato aperto (PDF elaborabile)</w:t>
      </w:r>
      <w:r w:rsidR="00DE295E">
        <w:rPr>
          <w:rFonts w:ascii="Titillium" w:hAnsi="Titillium"/>
          <w:sz w:val="20"/>
          <w:szCs w:val="20"/>
        </w:rPr>
        <w:t>.</w:t>
      </w:r>
    </w:p>
    <w:p w14:paraId="4F281E89" w14:textId="1FB5770C" w:rsidR="00DE295E" w:rsidRDefault="00DE295E" w:rsidP="001A7B07">
      <w:pPr>
        <w:spacing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Non sono invece presenti provvedimenti.</w:t>
      </w:r>
    </w:p>
    <w:p w14:paraId="6A532BD5" w14:textId="1E6A10E4" w:rsidR="00CE5F50" w:rsidRDefault="00DE295E" w:rsidP="001A7B07">
      <w:pPr>
        <w:spacing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Nella sezione “Pagamenti” sono riportati i “Dati sui pagamenti” trimestrali fino al I trimestre 2022 in formato </w:t>
      </w:r>
      <w:proofErr w:type="spellStart"/>
      <w:r>
        <w:rPr>
          <w:rFonts w:ascii="Titillium" w:hAnsi="Titillium"/>
          <w:sz w:val="20"/>
          <w:szCs w:val="20"/>
        </w:rPr>
        <w:t>excel</w:t>
      </w:r>
      <w:proofErr w:type="spellEnd"/>
      <w:r>
        <w:rPr>
          <w:rFonts w:ascii="Titillium" w:hAnsi="Titillium"/>
          <w:sz w:val="20"/>
          <w:szCs w:val="20"/>
        </w:rPr>
        <w:t>. Con specifico riferimento ai dati indicati nel suddetto file, si rileva che l</w:t>
      </w:r>
      <w:r w:rsidR="00CE5F50">
        <w:rPr>
          <w:rFonts w:ascii="Titillium" w:hAnsi="Titillium"/>
          <w:sz w:val="20"/>
          <w:szCs w:val="20"/>
        </w:rPr>
        <w:t>a tipologia di spesa sostenuta è indicata tramite il richiamo al singolo documento di spesa.</w:t>
      </w:r>
    </w:p>
    <w:p w14:paraId="6616B6EB" w14:textId="50870C55" w:rsidR="00DE295E" w:rsidRDefault="00DE295E" w:rsidP="001A7B07">
      <w:pPr>
        <w:spacing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Anche l’indicatore di tempestività dei pagamenti risulta essere pubblicato in formato elaborabile (file word) e risulta aggiornato al I trimestre 2022. Nella stessa Sotto-sezione è indicato anche il dato annuale.  </w:t>
      </w:r>
    </w:p>
    <w:p w14:paraId="19266D0D" w14:textId="3BFB8515" w:rsidR="00727C5E" w:rsidRDefault="00727C5E" w:rsidP="001A7B07">
      <w:pPr>
        <w:spacing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L’ammontare</w:t>
      </w:r>
      <w:r w:rsidR="00514681">
        <w:rPr>
          <w:rFonts w:ascii="Titillium" w:hAnsi="Titillium"/>
          <w:sz w:val="20"/>
          <w:szCs w:val="20"/>
        </w:rPr>
        <w:t xml:space="preserve"> complessivo</w:t>
      </w:r>
      <w:r>
        <w:rPr>
          <w:rFonts w:ascii="Titillium" w:hAnsi="Titillium"/>
          <w:sz w:val="20"/>
          <w:szCs w:val="20"/>
        </w:rPr>
        <w:t xml:space="preserve"> dei debiti</w:t>
      </w:r>
      <w:r w:rsidR="00514681">
        <w:rPr>
          <w:rFonts w:ascii="Titillium" w:hAnsi="Titillium"/>
          <w:sz w:val="20"/>
          <w:szCs w:val="20"/>
        </w:rPr>
        <w:t xml:space="preserve"> e il numero delle imprese creditrici sono invece</w:t>
      </w:r>
      <w:r>
        <w:rPr>
          <w:rFonts w:ascii="Titillium" w:hAnsi="Titillium"/>
          <w:sz w:val="20"/>
          <w:szCs w:val="20"/>
        </w:rPr>
        <w:t xml:space="preserve"> indicat</w:t>
      </w:r>
      <w:r w:rsidR="00514681">
        <w:rPr>
          <w:rFonts w:ascii="Titillium" w:hAnsi="Titillium"/>
          <w:sz w:val="20"/>
          <w:szCs w:val="20"/>
        </w:rPr>
        <w:t>i</w:t>
      </w:r>
      <w:r>
        <w:rPr>
          <w:rFonts w:ascii="Titillium" w:hAnsi="Titillium"/>
          <w:sz w:val="20"/>
          <w:szCs w:val="20"/>
        </w:rPr>
        <w:t xml:space="preserve"> nella sotto-sezione “Elenco debiti scaduti”</w:t>
      </w:r>
      <w:r w:rsidR="004E0490">
        <w:rPr>
          <w:rFonts w:ascii="Titillium" w:hAnsi="Titillium"/>
          <w:sz w:val="20"/>
          <w:szCs w:val="20"/>
        </w:rPr>
        <w:t>.</w:t>
      </w:r>
    </w:p>
    <w:p w14:paraId="3B2D3E7C" w14:textId="11FE54F8" w:rsidR="004E0490" w:rsidRDefault="004E0490" w:rsidP="001A7B07">
      <w:pPr>
        <w:spacing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Nella sezione “Prevenzione della Corruzione” tutti i dati risultano essere pubblicati. Il Piano triennale pubblicato </w:t>
      </w:r>
      <w:r w:rsidR="00A9685E">
        <w:rPr>
          <w:rFonts w:ascii="Titillium" w:hAnsi="Titillium"/>
          <w:sz w:val="20"/>
          <w:szCs w:val="20"/>
        </w:rPr>
        <w:t>e la Relazione dell’RPCT sono due</w:t>
      </w:r>
      <w:r>
        <w:rPr>
          <w:rFonts w:ascii="Titillium" w:hAnsi="Titillium"/>
          <w:sz w:val="20"/>
          <w:szCs w:val="20"/>
        </w:rPr>
        <w:t xml:space="preserve"> pdf cifrat</w:t>
      </w:r>
      <w:r w:rsidR="00A9685E">
        <w:rPr>
          <w:rFonts w:ascii="Titillium" w:hAnsi="Titillium"/>
          <w:sz w:val="20"/>
          <w:szCs w:val="20"/>
        </w:rPr>
        <w:t>i</w:t>
      </w:r>
      <w:r>
        <w:rPr>
          <w:rFonts w:ascii="Titillium" w:hAnsi="Titillium"/>
          <w:sz w:val="20"/>
          <w:szCs w:val="20"/>
        </w:rPr>
        <w:t xml:space="preserve"> e non modificabil</w:t>
      </w:r>
      <w:r w:rsidR="00A9685E">
        <w:rPr>
          <w:rFonts w:ascii="Titillium" w:hAnsi="Titillium"/>
          <w:sz w:val="20"/>
          <w:szCs w:val="20"/>
        </w:rPr>
        <w:t>i.</w:t>
      </w:r>
    </w:p>
    <w:p w14:paraId="650E689C" w14:textId="388B64B2" w:rsidR="00A9685E" w:rsidRDefault="00A9685E" w:rsidP="001A7B07">
      <w:pPr>
        <w:spacing w:line="360" w:lineRule="auto"/>
        <w:rPr>
          <w:rFonts w:ascii="Titillium" w:hAnsi="Titillium"/>
          <w:sz w:val="20"/>
          <w:szCs w:val="20"/>
        </w:rPr>
      </w:pPr>
      <w:r w:rsidRPr="00A9685E">
        <w:rPr>
          <w:rFonts w:ascii="Titillium" w:hAnsi="Titillium"/>
          <w:sz w:val="20"/>
          <w:szCs w:val="20"/>
        </w:rPr>
        <w:t>Non risultano</w:t>
      </w:r>
      <w:r>
        <w:rPr>
          <w:rFonts w:ascii="Titillium" w:hAnsi="Titillium"/>
          <w:sz w:val="20"/>
          <w:szCs w:val="20"/>
        </w:rPr>
        <w:t>, infine,</w:t>
      </w:r>
      <w:r w:rsidRPr="00A9685E">
        <w:rPr>
          <w:rFonts w:ascii="Titillium" w:hAnsi="Titillium"/>
          <w:sz w:val="20"/>
          <w:szCs w:val="20"/>
        </w:rPr>
        <w:t xml:space="preserve"> atti di accertamento delle violazioni delle disposizioni di cui al </w:t>
      </w:r>
      <w:proofErr w:type="spellStart"/>
      <w:r w:rsidRPr="00A9685E">
        <w:rPr>
          <w:rFonts w:ascii="Titillium" w:hAnsi="Titillium"/>
          <w:sz w:val="20"/>
          <w:szCs w:val="20"/>
        </w:rPr>
        <w:t>D.</w:t>
      </w:r>
      <w:r>
        <w:rPr>
          <w:rFonts w:ascii="Titillium" w:hAnsi="Titillium"/>
          <w:sz w:val="20"/>
          <w:szCs w:val="20"/>
        </w:rPr>
        <w:t>Lgs.</w:t>
      </w:r>
      <w:proofErr w:type="spellEnd"/>
      <w:r w:rsidRPr="00A9685E">
        <w:rPr>
          <w:rFonts w:ascii="Titillium" w:hAnsi="Titillium"/>
          <w:sz w:val="20"/>
          <w:szCs w:val="20"/>
        </w:rPr>
        <w:t xml:space="preserve"> 39/2013</w:t>
      </w:r>
      <w:r>
        <w:rPr>
          <w:rFonts w:ascii="Titillium" w:hAnsi="Titillium"/>
          <w:sz w:val="20"/>
          <w:szCs w:val="20"/>
        </w:rPr>
        <w:t>.</w:t>
      </w:r>
    </w:p>
    <w:p w14:paraId="72323C59" w14:textId="77777777" w:rsidR="00CE5F50" w:rsidRDefault="00CE5F50" w:rsidP="001A7B07">
      <w:pPr>
        <w:spacing w:line="360" w:lineRule="auto"/>
        <w:rPr>
          <w:rFonts w:ascii="Titillium" w:hAnsi="Titillium"/>
          <w:sz w:val="20"/>
          <w:szCs w:val="20"/>
        </w:rPr>
      </w:pPr>
    </w:p>
    <w:p w14:paraId="59BC6E83" w14:textId="5774BA8B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lastRenderedPageBreak/>
        <w:t>Eventuale documentazione da allegare</w:t>
      </w:r>
    </w:p>
    <w:p w14:paraId="34254DF9" w14:textId="535D6321" w:rsidR="00684B6D" w:rsidRPr="00684B6D" w:rsidRDefault="00684B6D">
      <w:pPr>
        <w:spacing w:line="360" w:lineRule="auto"/>
        <w:rPr>
          <w:rFonts w:ascii="Titillium" w:hAnsi="Titillium"/>
          <w:sz w:val="20"/>
          <w:szCs w:val="20"/>
        </w:rPr>
      </w:pPr>
      <w:r w:rsidRPr="00684B6D">
        <w:rPr>
          <w:rFonts w:ascii="Titillium" w:hAnsi="Titillium"/>
          <w:sz w:val="20"/>
          <w:szCs w:val="20"/>
        </w:rPr>
        <w:t>Non vi è documentazione da allegare.</w:t>
      </w:r>
    </w:p>
    <w:sectPr w:rsidR="00684B6D" w:rsidRPr="00684B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4DF2E" w14:textId="77777777" w:rsidR="00386814" w:rsidRDefault="00386814">
      <w:pPr>
        <w:spacing w:after="0" w:line="240" w:lineRule="auto"/>
      </w:pPr>
      <w:r>
        <w:separator/>
      </w:r>
    </w:p>
  </w:endnote>
  <w:endnote w:type="continuationSeparator" w:id="0">
    <w:p w14:paraId="612021A9" w14:textId="77777777" w:rsidR="00386814" w:rsidRDefault="00386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5D3D" w14:textId="77777777" w:rsidR="000F0DE0" w:rsidRDefault="000F0D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E57B3" w14:textId="77777777" w:rsidR="000F0DE0" w:rsidRDefault="000F0DE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706D" w14:textId="77777777" w:rsidR="000F0DE0" w:rsidRDefault="000F0D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76565" w14:textId="77777777" w:rsidR="00386814" w:rsidRDefault="00386814">
      <w:pPr>
        <w:spacing w:after="0" w:line="240" w:lineRule="auto"/>
      </w:pPr>
      <w:r>
        <w:separator/>
      </w:r>
    </w:p>
  </w:footnote>
  <w:footnote w:type="continuationSeparator" w:id="0">
    <w:p w14:paraId="0136B4F3" w14:textId="77777777" w:rsidR="00386814" w:rsidRDefault="00386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3F93" w14:textId="77777777" w:rsidR="000F0DE0" w:rsidRDefault="000F0D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79C5" w14:textId="77777777" w:rsidR="000F0DE0" w:rsidRDefault="000F0DE0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01B0DAB4" wp14:editId="78C2DD84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4C4067" w14:textId="77777777" w:rsidR="000F0DE0" w:rsidRDefault="000F0DE0" w:rsidP="006E496C">
    <w:pPr>
      <w:pStyle w:val="Intestazione"/>
      <w:jc w:val="right"/>
      <w:rPr>
        <w:rFonts w:ascii="Garamond" w:hAnsi="Garamond"/>
        <w:b/>
      </w:rPr>
    </w:pPr>
  </w:p>
  <w:p w14:paraId="4B4F6DFC" w14:textId="77777777" w:rsidR="000F0DE0" w:rsidRDefault="000F0DE0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413B29B9" w14:textId="77777777" w:rsidR="000F0DE0" w:rsidRPr="000F2C0E" w:rsidRDefault="000F0DE0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 xml:space="preserve">delibera ANAC n. </w:t>
    </w:r>
    <w:r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/202</w:t>
    </w:r>
    <w:r>
      <w:rPr>
        <w:rFonts w:ascii="Titillium" w:hAnsi="Titillium" w:cs="Times New Roman"/>
        <w:b/>
        <w:sz w:val="20"/>
        <w:szCs w:val="20"/>
      </w:rPr>
      <w:t>2</w:t>
    </w:r>
  </w:p>
  <w:p w14:paraId="15BC7B7F" w14:textId="77777777" w:rsidR="000F0DE0" w:rsidRDefault="000F0DE0" w:rsidP="006E496C">
    <w:pPr>
      <w:pStyle w:val="Intestazione"/>
      <w:jc w:val="right"/>
      <w:rPr>
        <w:rFonts w:ascii="Garamond" w:hAnsi="Garamond" w:cs="Times New Roman"/>
        <w:b/>
      </w:rPr>
    </w:pPr>
  </w:p>
  <w:p w14:paraId="7ADA7014" w14:textId="77777777" w:rsidR="000F0DE0" w:rsidRPr="006E496C" w:rsidRDefault="000F0DE0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3A439" w14:textId="77777777" w:rsidR="000F0DE0" w:rsidRDefault="000F0D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22946"/>
    <w:multiLevelType w:val="hybridMultilevel"/>
    <w:tmpl w:val="1C0C3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82618">
    <w:abstractNumId w:val="1"/>
  </w:num>
  <w:num w:numId="2" w16cid:durableId="1747416653">
    <w:abstractNumId w:val="0"/>
  </w:num>
  <w:num w:numId="3" w16cid:durableId="816922318">
    <w:abstractNumId w:val="2"/>
  </w:num>
  <w:num w:numId="4" w16cid:durableId="1600135797">
    <w:abstractNumId w:val="3"/>
  </w:num>
  <w:num w:numId="5" w16cid:durableId="293877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B23"/>
    <w:rsid w:val="00040F20"/>
    <w:rsid w:val="000D44D8"/>
    <w:rsid w:val="000F0DE0"/>
    <w:rsid w:val="000F2C0E"/>
    <w:rsid w:val="00130AB4"/>
    <w:rsid w:val="00152B05"/>
    <w:rsid w:val="0016468A"/>
    <w:rsid w:val="001A7B07"/>
    <w:rsid w:val="001E0DDF"/>
    <w:rsid w:val="0024134D"/>
    <w:rsid w:val="00254C59"/>
    <w:rsid w:val="00257242"/>
    <w:rsid w:val="002C572E"/>
    <w:rsid w:val="00335001"/>
    <w:rsid w:val="0035120A"/>
    <w:rsid w:val="00382265"/>
    <w:rsid w:val="00386814"/>
    <w:rsid w:val="003E1CF5"/>
    <w:rsid w:val="003E2D88"/>
    <w:rsid w:val="0041405A"/>
    <w:rsid w:val="00416AD0"/>
    <w:rsid w:val="0048249A"/>
    <w:rsid w:val="004833D5"/>
    <w:rsid w:val="004E0490"/>
    <w:rsid w:val="004F18CD"/>
    <w:rsid w:val="0050056A"/>
    <w:rsid w:val="00506EFE"/>
    <w:rsid w:val="00514681"/>
    <w:rsid w:val="00515AC3"/>
    <w:rsid w:val="00590AAA"/>
    <w:rsid w:val="0060106A"/>
    <w:rsid w:val="00684B6D"/>
    <w:rsid w:val="006E496C"/>
    <w:rsid w:val="007052EA"/>
    <w:rsid w:val="00713BFD"/>
    <w:rsid w:val="00727C5E"/>
    <w:rsid w:val="007A107C"/>
    <w:rsid w:val="007F110E"/>
    <w:rsid w:val="00837860"/>
    <w:rsid w:val="0085206C"/>
    <w:rsid w:val="00861FE1"/>
    <w:rsid w:val="00892D8C"/>
    <w:rsid w:val="008A0378"/>
    <w:rsid w:val="009144ED"/>
    <w:rsid w:val="00955140"/>
    <w:rsid w:val="009A5646"/>
    <w:rsid w:val="009C05D1"/>
    <w:rsid w:val="009C6FAC"/>
    <w:rsid w:val="00A52DF7"/>
    <w:rsid w:val="00A6278D"/>
    <w:rsid w:val="00A9685E"/>
    <w:rsid w:val="00AF790D"/>
    <w:rsid w:val="00C27B23"/>
    <w:rsid w:val="00C32BE7"/>
    <w:rsid w:val="00CE5F50"/>
    <w:rsid w:val="00D01CFA"/>
    <w:rsid w:val="00D27496"/>
    <w:rsid w:val="00DE295E"/>
    <w:rsid w:val="00EE642B"/>
    <w:rsid w:val="00F05FC8"/>
    <w:rsid w:val="00F7412A"/>
    <w:rsid w:val="00FC7906"/>
    <w:rsid w:val="00FE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1439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A7B0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A7B07"/>
    <w:rPr>
      <w:rFonts w:ascii="Consolas" w:eastAsia="Times New Roman" w:hAnsi="Consolas" w:cs="Cambri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7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Lucia Recchioni</cp:lastModifiedBy>
  <cp:revision>40</cp:revision>
  <cp:lastPrinted>2018-02-28T15:30:00Z</cp:lastPrinted>
  <dcterms:created xsi:type="dcterms:W3CDTF">2013-12-19T15:41:00Z</dcterms:created>
  <dcterms:modified xsi:type="dcterms:W3CDTF">2022-06-30T09:59:00Z</dcterms:modified>
</cp:coreProperties>
</file>