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380B17" w:rsidRPr="007A09A7" w:rsidRDefault="00380B17" w:rsidP="00380B1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Pr="007A09A7">
        <w:rPr>
          <w:b/>
          <w:sz w:val="44"/>
        </w:rPr>
        <w:t xml:space="preserve">nno </w:t>
      </w:r>
      <w:r>
        <w:rPr>
          <w:b/>
          <w:sz w:val="44"/>
        </w:rPr>
        <w:t>2021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3B2D0F" w:rsidRDefault="003B2D0F" w:rsidP="00380B17">
          <w:pPr>
            <w:pStyle w:val="Titolosommario"/>
            <w:numPr>
              <w:ilvl w:val="0"/>
              <w:numId w:val="0"/>
            </w:numPr>
            <w:ind w:left="432" w:hanging="432"/>
            <w:rPr>
              <w:color w:val="auto"/>
              <w:sz w:val="32"/>
            </w:rPr>
          </w:pPr>
          <w:r w:rsidRPr="003B2D0F">
            <w:rPr>
              <w:i/>
              <w:szCs w:val="24"/>
            </w:rPr>
            <w:t>INDICE</w:t>
          </w:r>
        </w:p>
        <w:p w:rsidR="002751BC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56760951" w:history="1">
            <w:r w:rsidR="002751BC" w:rsidRPr="00357F41">
              <w:rPr>
                <w:rStyle w:val="Collegamentoipertestuale"/>
                <w:noProof/>
              </w:rPr>
              <w:t>SEZIONE 1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SOCIET</w:t>
            </w:r>
            <w:r w:rsidR="002751BC" w:rsidRPr="00357F41">
              <w:rPr>
                <w:rStyle w:val="Collegamentoipertestuale"/>
                <w:rFonts w:cstheme="majorHAnsi"/>
                <w:noProof/>
              </w:rPr>
              <w:t>À</w:t>
            </w:r>
            <w:r w:rsidR="002751BC" w:rsidRPr="00357F41">
              <w:rPr>
                <w:rStyle w:val="Collegamentoipertestuale"/>
                <w:noProof/>
              </w:rPr>
              <w:t>/ENTE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2" w:history="1">
            <w:r w:rsidR="002751BC" w:rsidRPr="00357F41">
              <w:rPr>
                <w:rStyle w:val="Collegamentoipertestuale"/>
                <w:noProof/>
              </w:rPr>
              <w:t>SEZIONE 2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ANAGRAFICA RPCT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53" w:history="1">
            <w:r w:rsidR="002751BC" w:rsidRPr="00357F41">
              <w:rPr>
                <w:rStyle w:val="Collegamentoipertestuale"/>
                <w:noProof/>
              </w:rPr>
              <w:t>SEZIONE 3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4" w:history="1">
            <w:r w:rsidR="002751BC" w:rsidRPr="00357F41">
              <w:rPr>
                <w:rStyle w:val="Collegamentoipertestuale"/>
                <w:noProof/>
              </w:rPr>
              <w:t>3.1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Sintesi dell’attuazione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3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5" w:history="1">
            <w:r w:rsidR="002751BC" w:rsidRPr="00357F41">
              <w:rPr>
                <w:rStyle w:val="Collegamentoipertestuale"/>
                <w:noProof/>
              </w:rPr>
              <w:t>3.2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Doveri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56" w:history="1">
            <w:r w:rsidR="002751BC" w:rsidRPr="00357F41">
              <w:rPr>
                <w:rStyle w:val="Collegamentoipertestuale"/>
                <w:noProof/>
              </w:rPr>
              <w:t>3.3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del personale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7" w:history="1">
            <w:r w:rsidR="002751BC" w:rsidRPr="00357F41">
              <w:rPr>
                <w:rStyle w:val="Collegamentoipertestuale"/>
                <w:noProof/>
              </w:rPr>
              <w:t>3.3.1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8" w:history="1">
            <w:r w:rsidR="002751BC" w:rsidRPr="00357F41">
              <w:rPr>
                <w:rStyle w:val="Collegamentoipertestuale"/>
                <w:noProof/>
              </w:rPr>
              <w:t>3.3.2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Rotazione straordinaria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/>
              <w:noProof/>
              <w:sz w:val="22"/>
              <w:szCs w:val="22"/>
              <w:lang w:eastAsia="it-IT"/>
            </w:rPr>
          </w:pPr>
          <w:hyperlink w:anchor="_Toc56760959" w:history="1">
            <w:r w:rsidR="002751BC" w:rsidRPr="00357F41">
              <w:rPr>
                <w:rStyle w:val="Collegamentoipertestuale"/>
                <w:noProof/>
              </w:rPr>
              <w:t>3.3.3</w:t>
            </w:r>
            <w:r w:rsidR="002751BC">
              <w:rPr>
                <w:rFonts w:eastAsiaTheme="minorEastAsia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Trasferimento d’ufficio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_Toc56760959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0" w:history="1">
            <w:r w:rsidR="002751BC" w:rsidRPr="00357F41">
              <w:rPr>
                <w:rStyle w:val="Collegamentoipertestuale"/>
                <w:noProof/>
              </w:rPr>
              <w:t>3.4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in materia di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4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1" w:history="1">
            <w:r w:rsidR="002751BC" w:rsidRPr="00357F41">
              <w:rPr>
                <w:rStyle w:val="Collegamentoipertestuale"/>
                <w:noProof/>
              </w:rPr>
              <w:t>3.5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Whistleblowing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2" w:history="1">
            <w:r w:rsidR="002751BC" w:rsidRPr="00357F41">
              <w:rPr>
                <w:rStyle w:val="Collegamentoipertestuale"/>
                <w:noProof/>
              </w:rPr>
              <w:t>3.6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3" w:history="1">
            <w:r w:rsidR="002751BC" w:rsidRPr="00357F41">
              <w:rPr>
                <w:rStyle w:val="Collegamentoipertestuale"/>
                <w:noProof/>
              </w:rPr>
              <w:t>3.7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4" w:history="1">
            <w:r w:rsidR="002751BC" w:rsidRPr="00357F41">
              <w:rPr>
                <w:rStyle w:val="Collegamentoipertestuale"/>
                <w:noProof/>
              </w:rPr>
              <w:t>3.8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Pantouflage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5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5" w:history="1">
            <w:r w:rsidR="002751BC" w:rsidRPr="00357F41">
              <w:rPr>
                <w:rStyle w:val="Collegamentoipertestuale"/>
                <w:noProof/>
              </w:rPr>
              <w:t>3.9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Commissioni e conferimento incarichi in caso di condanna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6" w:history="1">
            <w:r w:rsidR="002751BC" w:rsidRPr="00357F41">
              <w:rPr>
                <w:rStyle w:val="Collegamentoipertestuale"/>
                <w:noProof/>
              </w:rPr>
              <w:t>3.10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Patti di integrità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7" w:history="1">
            <w:r w:rsidR="002751BC" w:rsidRPr="00357F41">
              <w:rPr>
                <w:rStyle w:val="Collegamentoipertestuale"/>
                <w:noProof/>
              </w:rPr>
              <w:t>3.11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conclusive sull’attuazione delle misure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68" w:history="1">
            <w:r w:rsidR="002751BC" w:rsidRPr="00357F41">
              <w:rPr>
                <w:rStyle w:val="Collegamentoipertestuale"/>
                <w:noProof/>
              </w:rPr>
              <w:t>SEZIONE 4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RENDICONTAZIONE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69" w:history="1">
            <w:r w:rsidR="002751BC" w:rsidRPr="00357F41">
              <w:rPr>
                <w:rStyle w:val="Collegamentoipertestuale"/>
                <w:noProof/>
              </w:rPr>
              <w:t>4.1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Quadro di sintesi dell’attuazione delle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_Toc56760969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6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0" w:history="1">
            <w:r w:rsidR="002751BC" w:rsidRPr="00357F41">
              <w:rPr>
                <w:rStyle w:val="Collegamentoipertestuale"/>
                <w:noProof/>
              </w:rPr>
              <w:t>SEZIONE 5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GESTIONE DEL RISCHIO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1" w:history="1">
            <w:r w:rsidR="002751BC" w:rsidRPr="00357F41">
              <w:rPr>
                <w:rStyle w:val="Collegamentoipertestuale"/>
                <w:noProof/>
              </w:rPr>
              <w:t>SEZIONE 6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PENALI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2" w:history="1">
            <w:r w:rsidR="002751BC" w:rsidRPr="00357F41">
              <w:rPr>
                <w:rStyle w:val="Collegamentoipertestuale"/>
                <w:noProof/>
              </w:rPr>
              <w:t>SEZIONE 7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PROCEDIMENTI DISCIPLINARI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3" w:history="1">
            <w:r w:rsidR="002751BC" w:rsidRPr="00357F41">
              <w:rPr>
                <w:rStyle w:val="Collegamentoipertestuale"/>
                <w:noProof/>
              </w:rPr>
              <w:t>SEZIONE 8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CONSIDERAZIONI GENERALI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_Toc56760973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7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0974" w:history="1">
            <w:r w:rsidR="002751BC" w:rsidRPr="00357F41">
              <w:rPr>
                <w:rStyle w:val="Collegamentoipertestuale"/>
                <w:noProof/>
              </w:rPr>
              <w:t>SEZIONE 9</w:t>
            </w:r>
            <w:r w:rsidR="002751BC">
              <w:rPr>
                <w:rFonts w:eastAsiaTheme="minorEastAsia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MONITORAGGIO MISURE SPECIFICHE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_Toc56760974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5" w:history="1">
            <w:r w:rsidR="002751BC" w:rsidRPr="00357F41">
              <w:rPr>
                <w:rStyle w:val="Collegamentoipertestuale"/>
                <w:noProof/>
              </w:rPr>
              <w:t>9.1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controllo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_Toc56760975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6" w:history="1">
            <w:r w:rsidR="002751BC" w:rsidRPr="00357F41">
              <w:rPr>
                <w:rStyle w:val="Collegamentoipertestuale"/>
                <w:noProof/>
              </w:rPr>
              <w:t>9.2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trasparenza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_Toc56760976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7" w:history="1">
            <w:r w:rsidR="002751BC" w:rsidRPr="00357F41">
              <w:rPr>
                <w:rStyle w:val="Collegamentoipertestuale"/>
                <w:noProof/>
              </w:rPr>
              <w:t>9.3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_Toc56760977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8" w:history="1">
            <w:r w:rsidR="002751BC" w:rsidRPr="00357F41">
              <w:rPr>
                <w:rStyle w:val="Collegamentoipertestuale"/>
                <w:noProof/>
              </w:rPr>
              <w:t>9.4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regolamentazione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_Toc56760978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79" w:history="1">
            <w:r w:rsidR="002751BC" w:rsidRPr="00357F41">
              <w:rPr>
                <w:rStyle w:val="Collegamentoipertestuale"/>
                <w:noProof/>
              </w:rPr>
              <w:t>9.5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semplificazione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_Toc56760979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8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0" w:history="1">
            <w:r w:rsidR="002751BC" w:rsidRPr="00357F41">
              <w:rPr>
                <w:rStyle w:val="Collegamentoipertestuale"/>
                <w:noProof/>
              </w:rPr>
              <w:t>9.6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formazione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_Toc56760980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1" w:history="1">
            <w:r w:rsidR="002751BC" w:rsidRPr="00357F41">
              <w:rPr>
                <w:rStyle w:val="Collegamentoipertestuale"/>
                <w:noProof/>
              </w:rPr>
              <w:t>9.7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rotazione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_Toc56760981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2751BC" w:rsidRDefault="004126FE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/>
              <w:b w:val="0"/>
              <w:bCs w:val="0"/>
              <w:noProof/>
              <w:lang w:eastAsia="it-IT"/>
            </w:rPr>
          </w:pPr>
          <w:hyperlink w:anchor="_Toc56760982" w:history="1">
            <w:r w:rsidR="002751BC" w:rsidRPr="00357F41">
              <w:rPr>
                <w:rStyle w:val="Collegamentoipertestuale"/>
                <w:noProof/>
              </w:rPr>
              <w:t>9.8</w:t>
            </w:r>
            <w:r w:rsidR="002751BC">
              <w:rPr>
                <w:rFonts w:eastAsiaTheme="minorEastAsia"/>
                <w:b w:val="0"/>
                <w:bCs w:val="0"/>
                <w:noProof/>
                <w:lang w:eastAsia="it-IT"/>
              </w:rPr>
              <w:tab/>
            </w:r>
            <w:r w:rsidR="002751BC" w:rsidRPr="00357F41">
              <w:rPr>
                <w:rStyle w:val="Collegamentoipertestuale"/>
                <w:noProof/>
              </w:rPr>
              <w:t>Misure specifiche di disciplina del conflitto di interessi</w:t>
            </w:r>
            <w:r w:rsidR="002751BC">
              <w:rPr>
                <w:noProof/>
                <w:webHidden/>
              </w:rPr>
              <w:tab/>
            </w:r>
            <w:r w:rsidR="002751BC">
              <w:rPr>
                <w:noProof/>
                <w:webHidden/>
              </w:rPr>
              <w:fldChar w:fldCharType="begin"/>
            </w:r>
            <w:r w:rsidR="002751BC">
              <w:rPr>
                <w:noProof/>
                <w:webHidden/>
              </w:rPr>
              <w:instrText xml:space="preserve"> PAGEREF _Toc56760982 \h </w:instrText>
            </w:r>
            <w:r w:rsidR="002751BC">
              <w:rPr>
                <w:noProof/>
                <w:webHidden/>
              </w:rPr>
            </w:r>
            <w:r w:rsidR="002751BC">
              <w:rPr>
                <w:noProof/>
                <w:webHidden/>
              </w:rPr>
              <w:fldChar w:fldCharType="separate"/>
            </w:r>
            <w:r w:rsidR="002751BC">
              <w:rPr>
                <w:noProof/>
                <w:webHidden/>
              </w:rPr>
              <w:t>9</w:t>
            </w:r>
            <w:r w:rsidR="002751BC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380B17" w:rsidRDefault="00C829E4"/>
    <w:p w:rsidR="003A0907" w:rsidRPr="00380B17" w:rsidRDefault="007A09A7" w:rsidP="003A0907">
      <w:pPr>
        <w:rPr>
          <w:b/>
        </w:rPr>
      </w:pPr>
      <w:r w:rsidRPr="00380B17">
        <w:rPr>
          <w:b/>
        </w:rPr>
        <w:br w:type="page"/>
      </w:r>
    </w:p>
    <w:p w:rsidR="00A82AEF" w:rsidRPr="008C5207" w:rsidRDefault="00A82AEF" w:rsidP="00380B17">
      <w:pPr>
        <w:pStyle w:val="Titolo1"/>
      </w:pPr>
      <w:bookmarkStart w:id="0" w:name="_Toc56760951"/>
      <w:r w:rsidRPr="008C5207">
        <w:lastRenderedPageBreak/>
        <w:t xml:space="preserve">ANAGRAFICA </w:t>
      </w:r>
      <w:r w:rsidR="00D76FA5">
        <w:t>SOCIET</w:t>
      </w:r>
      <w:r w:rsidR="00D76FA5">
        <w:rPr>
          <w:rFonts w:cstheme="majorHAnsi"/>
        </w:rPr>
        <w:t>À</w:t>
      </w:r>
      <w:r w:rsidR="00D76FA5">
        <w:t>/ENTE</w:t>
      </w:r>
      <w:bookmarkEnd w:id="0"/>
    </w:p>
    <w:p w:rsidR="00DF06C3" w:rsidRDefault="00DF06C3"/>
    <w:p w:rsidR="00D76FA5" w:rsidRDefault="00D76FA5" w:rsidP="00A82AEF">
      <w:r>
        <w:t>Tipologia ente:</w:t>
      </w:r>
      <w:r w:rsidR="001A7463">
        <w:t xml:space="preserve"> </w:t>
      </w:r>
      <w:r w:rsidR="00A2153D">
        <w:t>Società in controllo pubblico ai sensi dell'art. 2 bis, comma 2, lett. b), del D. lgs. n. 33/2013.</w:t>
      </w:r>
      <w:r>
        <w:t xml:space="preserve"> </w:t>
      </w:r>
    </w:p>
    <w:p w:rsidR="00234BAF" w:rsidRDefault="00A82AEF" w:rsidP="00A82AEF">
      <w:r>
        <w:t>Codice fiscale:</w:t>
      </w:r>
      <w:r w:rsidR="00415712">
        <w:t xml:space="preserve"> </w:t>
      </w:r>
      <w:r w:rsidR="00A2153D">
        <w:t>82005040678</w:t>
      </w:r>
    </w:p>
    <w:p w:rsidR="00D76FA5" w:rsidRDefault="00D76FA5" w:rsidP="00A82AEF">
      <w:r>
        <w:t>Partita IVA:</w:t>
      </w:r>
      <w:r w:rsidR="00884807">
        <w:t xml:space="preserve"> </w:t>
      </w:r>
      <w:r w:rsidR="00A2153D">
        <w:t>00446820672</w:t>
      </w:r>
    </w:p>
    <w:p w:rsidR="00A82AEF" w:rsidRDefault="00A82AEF" w:rsidP="00A82AEF">
      <w:r>
        <w:t>Denominazione:</w:t>
      </w:r>
      <w:r w:rsidR="00884807">
        <w:t xml:space="preserve"> </w:t>
      </w:r>
      <w:r w:rsidR="00A2153D">
        <w:t>COSEV SERVIZI S.P.A.</w:t>
      </w:r>
      <w:r w:rsidR="00415712">
        <w:t xml:space="preserve"> </w:t>
      </w:r>
    </w:p>
    <w:p w:rsidR="00A82AEF" w:rsidRDefault="00234BAF" w:rsidP="00A82AEF">
      <w:r>
        <w:t>Settori</w:t>
      </w:r>
      <w:r w:rsidR="00D76FA5">
        <w:t xml:space="preserve"> di attività ATECO</w:t>
      </w:r>
      <w:r w:rsidR="00A82AEF">
        <w:t>:</w:t>
      </w:r>
      <w:r w:rsidR="00884807">
        <w:t xml:space="preserve"> </w:t>
      </w:r>
      <w:r w:rsidR="00A2153D">
        <w:t>altre attività di servizi ,fornitura di energia elettrica, gas, vapore e aria condizionata</w:t>
      </w:r>
    </w:p>
    <w:p w:rsidR="00234BAF" w:rsidRDefault="00A82AEF" w:rsidP="00A82AEF">
      <w:r>
        <w:t>Regione di appartenenza:</w:t>
      </w:r>
      <w:r w:rsidR="00884807">
        <w:t xml:space="preserve"> </w:t>
      </w:r>
      <w:r w:rsidR="00B43CD5">
        <w:t>Abruzzo</w:t>
      </w:r>
    </w:p>
    <w:p w:rsidR="00A82AEF" w:rsidRDefault="00D76FA5" w:rsidP="00A82AEF">
      <w:r>
        <w:t>Numero</w:t>
      </w:r>
      <w:r w:rsidR="00A82AEF">
        <w:t xml:space="preserve"> dipendenti:</w:t>
      </w:r>
      <w:r w:rsidR="002C2A45">
        <w:t xml:space="preserve"> </w:t>
      </w:r>
      <w:r w:rsidR="00A2153D">
        <w:t>da 1 a 9</w:t>
      </w:r>
    </w:p>
    <w:p w:rsidR="00A82AEF" w:rsidRDefault="00A82AEF" w:rsidP="00A82AEF">
      <w:r>
        <w:t>Numero Dirigenti:</w:t>
      </w:r>
      <w:r w:rsidR="00415712" w:rsidRPr="00415712">
        <w:t xml:space="preserve"> </w:t>
      </w:r>
      <w:r w:rsidR="00A2153D">
        <w:t>0</w:t>
      </w:r>
    </w:p>
    <w:p w:rsidR="00651A97" w:rsidRDefault="00651A97" w:rsidP="00A82AEF"/>
    <w:p w:rsidR="00F34EA1" w:rsidRDefault="00B32D94" w:rsidP="00A82AEF">
      <w:r>
        <w:t>La società appartiene ad un gruppo societario di cui è la capogruppo ed è partecipata dai seguenti enti:</w:t>
      </w:r>
      <w:r>
        <w:br/>
        <w:t xml:space="preserve"> - Amministrazione pubblica di cui all'art. 1, co. 2, D.lgs. N. 165/2001, Comune di Sant'Omero con quota di partecipazione del 22%</w:t>
      </w:r>
      <w:r>
        <w:br/>
        <w:t xml:space="preserve"> - Amministrazione pubblica di cui all'art. 1, co. 2, D.lgs. N. 165/2001, Comune di Nereto con quota di partecipazione del 22%</w:t>
      </w:r>
      <w:r>
        <w:br/>
        <w:t xml:space="preserve"> - Amministrazione pubblica di cui all'art. 1, co. 2, D.lgs. N. 165/2001, Comune di Colonnella con quota di partecipazione del 18%</w:t>
      </w:r>
      <w:r>
        <w:br/>
        <w:t xml:space="preserve"> - Amministrazione pubblica di cui all'art. 1, co. 2, D.lgs. N. 165/2001, Comune di Controguerra con quota di partecipazione del 11%</w:t>
      </w:r>
      <w:r w:rsidR="00380B17">
        <w:t xml:space="preserve"> </w:t>
      </w:r>
    </w:p>
    <w:p w:rsidR="00A82AEF" w:rsidRPr="00A82AEF" w:rsidRDefault="0066646A" w:rsidP="008C5207">
      <w:pPr>
        <w:pStyle w:val="Titolo1"/>
      </w:pPr>
      <w:bookmarkStart w:id="1" w:name="_Toc56760952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A82AEF" w:rsidRDefault="00A82AEF" w:rsidP="00A82AEF">
      <w:r>
        <w:t xml:space="preserve">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FILIPPO</w:t>
      </w:r>
    </w:p>
    <w:p w:rsidR="00A82AEF" w:rsidRDefault="00A82AEF" w:rsidP="00A82AEF">
      <w:r>
        <w:t xml:space="preserve">Cognome </w:t>
      </w:r>
      <w:r w:rsidR="00781E8B">
        <w:t>RPCT</w:t>
      </w:r>
      <w:r>
        <w:t>:</w:t>
      </w:r>
      <w:r w:rsidR="00415712" w:rsidRPr="00415712">
        <w:t xml:space="preserve"> </w:t>
      </w:r>
      <w:r w:rsidR="00A2153D">
        <w:t>DI LEONARDO</w:t>
      </w:r>
      <w:r w:rsidR="00234BAF">
        <w:t xml:space="preserve"> </w:t>
      </w:r>
    </w:p>
    <w:p w:rsidR="00A82AEF" w:rsidRDefault="00A82AEF" w:rsidP="00A82AEF">
      <w:r>
        <w:t>Qualifica:</w:t>
      </w:r>
      <w:r w:rsidR="002C2A45">
        <w:t xml:space="preserve"> </w:t>
      </w:r>
      <w:r w:rsidR="00A2153D">
        <w:t xml:space="preserve"> Altro</w:t>
      </w:r>
      <w:r w:rsidR="00415712" w:rsidRPr="00415712">
        <w:t xml:space="preserve"> </w:t>
      </w:r>
    </w:p>
    <w:p w:rsidR="00A82AEF" w:rsidRDefault="00A82AEF" w:rsidP="00A82AEF">
      <w:r>
        <w:t>Posizione occupata:</w:t>
      </w:r>
      <w:r w:rsidR="00415712">
        <w:t xml:space="preserve"> </w:t>
      </w:r>
      <w:r w:rsidR="00A2153D">
        <w:t>Libero professionista, consulente esterno alla società</w:t>
      </w:r>
      <w:r w:rsidR="00781E8B">
        <w:t xml:space="preserve"> </w:t>
      </w:r>
    </w:p>
    <w:p w:rsidR="00A82AEF" w:rsidRDefault="00A82AEF" w:rsidP="0011180E">
      <w:pPr>
        <w:jc w:val="both"/>
      </w:pPr>
      <w:r>
        <w:t xml:space="preserve">Data inizio incarico di </w:t>
      </w:r>
      <w:r w:rsidR="00781E8B">
        <w:t>RPCT</w:t>
      </w:r>
      <w:r>
        <w:t>:</w:t>
      </w:r>
      <w:r w:rsidR="002C2A45">
        <w:t xml:space="preserve"> </w:t>
      </w:r>
      <w:r w:rsidR="00A2153D">
        <w:t>22/03/2019</w:t>
      </w:r>
    </w:p>
    <w:p w:rsidR="00A82AEF" w:rsidRDefault="00F34EA1" w:rsidP="00A46036">
      <w:r>
        <w:t xml:space="preserve">RPCT </w:t>
      </w:r>
      <w:r w:rsidR="00A46036">
        <w:t xml:space="preserve">svolge </w:t>
      </w:r>
      <w:r>
        <w:t>anche le funzioni di Responsabile della Trasparenza</w:t>
      </w:r>
      <w:r w:rsidR="00A46036">
        <w:t>.</w:t>
      </w:r>
    </w:p>
    <w:p w:rsidR="00F44674" w:rsidRDefault="00F44674" w:rsidP="00C431C9"/>
    <w:p w:rsidR="003C0D8A" w:rsidRPr="00A82AEF" w:rsidRDefault="003C0D8A" w:rsidP="008C5207">
      <w:pPr>
        <w:pStyle w:val="Titolo1"/>
      </w:pPr>
      <w:bookmarkStart w:id="2" w:name="OLE_LINK1"/>
      <w:bookmarkStart w:id="3" w:name="_Toc56760953"/>
      <w:r>
        <w:t>RENDICONTAZIONE MISURE GENERALI</w:t>
      </w:r>
      <w:bookmarkEnd w:id="2"/>
      <w:bookmarkEnd w:id="3"/>
    </w:p>
    <w:p w:rsidR="003C0D8A" w:rsidRDefault="003C0D8A" w:rsidP="0011180E">
      <w:pPr>
        <w:jc w:val="both"/>
      </w:pPr>
    </w:p>
    <w:p w:rsidR="001759A1" w:rsidRDefault="001759A1" w:rsidP="0011180E">
      <w:pPr>
        <w:jc w:val="both"/>
      </w:pPr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</w:t>
      </w:r>
      <w:r w:rsidR="00002043">
        <w:t>le misure di prevenzione della corruzione, che nelle società in controllo pubblico</w:t>
      </w:r>
      <w:r w:rsidR="0026292B">
        <w:t>,</w:t>
      </w:r>
      <w:r w:rsidR="00002043">
        <w:t xml:space="preserve"> negli enti pubblici economici</w:t>
      </w:r>
      <w:r w:rsidR="0026292B">
        <w:t xml:space="preserve"> o negli enti di diritto privato</w:t>
      </w:r>
      <w:r w:rsidR="00002043">
        <w:t xml:space="preserve"> possono essere contenute in un documento autonomo che tiene luogo del PTPC</w:t>
      </w:r>
      <w:r w:rsidR="00E66D94">
        <w:t>T</w:t>
      </w:r>
      <w:r w:rsidR="00002043">
        <w:t xml:space="preserve"> ovvero in una sezione apposita ed identificabile del MOG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DD6527">
      <w:pPr>
        <w:pStyle w:val="Titolo2"/>
      </w:pPr>
      <w:bookmarkStart w:id="4" w:name="_Toc56760954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26292B" w:rsidRDefault="0026292B" w:rsidP="0026292B"/>
    <w:p w:rsidR="0026292B" w:rsidRDefault="0026292B" w:rsidP="0026292B">
      <w:r>
        <w:t>Nel corso dell’annualità di riferimento, lo stato di programmazione e attuazione delle misure generali è sintetizzato nella seguente tabella</w:t>
      </w:r>
    </w:p>
    <w:p w:rsidR="00F4041B" w:rsidRDefault="00F4041B" w:rsidP="0026292B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591"/>
        <w:gridCol w:w="2370"/>
        <w:gridCol w:w="2661"/>
      </w:tblGrid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Misure generali</w:t>
            </w:r>
          </w:p>
        </w:tc>
        <w:tc>
          <w:tcPr>
            <w:tcW w:w="2370" w:type="dxa"/>
            <w:noWrap/>
            <w:hideMark/>
          </w:tcPr>
          <w:p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2661" w:type="dxa"/>
            <w:noWrap/>
            <w:hideMark/>
          </w:tcPr>
          <w:p w:rsidR="0026292B" w:rsidRPr="00700CC3" w:rsidRDefault="0026292B" w:rsidP="00AB44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26292B" w:rsidRPr="0094698A" w:rsidTr="00843542">
        <w:trPr>
          <w:trHeight w:val="390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Doveri</w:t>
            </w: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 comportamento</w:t>
            </w:r>
          </w:p>
        </w:tc>
        <w:tc>
          <w:tcPr>
            <w:tcW w:w="2370" w:type="dxa"/>
            <w:noWrap/>
            <w:hideMark/>
          </w:tcPr>
          <w:p w:rsidR="0026292B" w:rsidRPr="00DF1025" w:rsidRDefault="0048717B" w:rsidP="009759B1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48717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DF10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en-US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Si</w:t>
            </w:r>
          </w:p>
        </w:tc>
      </w:tr>
      <w:tr w:rsidR="0026292B" w:rsidRPr="00700CC3" w:rsidTr="00843542">
        <w:trPr>
          <w:trHeight w:val="26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26292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27F25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26292B" w:rsidRPr="00700CC3" w:rsidTr="00843542">
        <w:trPr>
          <w:trHeight w:val="288"/>
        </w:trPr>
        <w:tc>
          <w:tcPr>
            <w:tcW w:w="4591" w:type="dxa"/>
            <w:noWrap/>
          </w:tcPr>
          <w:p w:rsidR="0026292B" w:rsidRPr="00700CC3" w:rsidRDefault="0069043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Divieti post-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employment</w:t>
            </w:r>
            <w:proofErr w:type="spellEnd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69043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370" w:type="dxa"/>
            <w:noWrap/>
            <w:hideMark/>
          </w:tcPr>
          <w:p w:rsidR="0026292B" w:rsidRPr="00E27F25" w:rsidRDefault="00E27F25" w:rsidP="006904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6292B" w:rsidRPr="00216077" w:rsidTr="00843542">
        <w:trPr>
          <w:trHeight w:val="288"/>
        </w:trPr>
        <w:tc>
          <w:tcPr>
            <w:tcW w:w="4591" w:type="dxa"/>
            <w:noWrap/>
            <w:hideMark/>
          </w:tcPr>
          <w:p w:rsidR="0026292B" w:rsidRPr="00700CC3" w:rsidRDefault="0026292B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370" w:type="dxa"/>
            <w:noWrap/>
            <w:hideMark/>
          </w:tcPr>
          <w:p w:rsidR="0026292B" w:rsidRPr="00E27F25" w:rsidRDefault="00E27F25" w:rsidP="00AB44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661" w:type="dxa"/>
            <w:noWrap/>
            <w:hideMark/>
          </w:tcPr>
          <w:p w:rsidR="0026292B" w:rsidRPr="00E27F25" w:rsidRDefault="00F768B2" w:rsidP="00AB44C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A1700F" w:rsidRDefault="00A1700F" w:rsidP="00A1700F"/>
    <w:p w:rsidR="0026292B" w:rsidRDefault="00992ECA" w:rsidP="00A82AEF">
      <w:r>
        <w:t>Per quanto riguarda le misure non attuate si evidenzia che:</w:t>
      </w:r>
      <w:r>
        <w:br/>
        <w:t>- Per 2 misure sono state avviate le attività e, dunque, sono attualmente in corso di adozione</w:t>
      </w:r>
    </w:p>
    <w:p w:rsidR="004126FE" w:rsidRDefault="004126FE" w:rsidP="00A82A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A2C492" wp14:editId="1E5BE3A4">
                <wp:simplePos x="0" y="0"/>
                <wp:positionH relativeFrom="margin">
                  <wp:posOffset>0</wp:posOffset>
                </wp:positionH>
                <wp:positionV relativeFrom="paragraph">
                  <wp:posOffset>186690</wp:posOffset>
                </wp:positionV>
                <wp:extent cx="5634990" cy="1236345"/>
                <wp:effectExtent l="0" t="0" r="22860" b="20955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2363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6FE" w:rsidRDefault="004126FE" w:rsidP="004126FE">
                            <w:r>
                              <w:t>Note del RPCT:</w:t>
                            </w:r>
                          </w:p>
                          <w:p w:rsidR="004126FE" w:rsidRDefault="004126FE" w:rsidP="004126FE">
                            <w:r>
                              <w:t xml:space="preserve">L’anno trascorso è stato segnato profondamente dalla pandemia da Covid-19 che ha impedito o comunque rallentato il confronto e la condivisione tra le persone. </w:t>
                            </w:r>
                          </w:p>
                          <w:p w:rsidR="004126FE" w:rsidRDefault="004126FE" w:rsidP="004126FE">
                            <w:r>
                              <w:t>In generale, t</w:t>
                            </w:r>
                            <w:r>
                              <w:t xml:space="preserve">alune procedure </w:t>
                            </w:r>
                            <w:r>
                              <w:t xml:space="preserve">e misure individuate </w:t>
                            </w:r>
                            <w:bookmarkStart w:id="5" w:name="_GoBack"/>
                            <w:bookmarkEnd w:id="5"/>
                            <w:r>
                              <w:t>hanno risentito di queste criticità nel loro processo naturale di aggiornamento.</w:t>
                            </w:r>
                          </w:p>
                          <w:p w:rsidR="004126FE" w:rsidRDefault="004126FE" w:rsidP="00412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2C492" id="_x0000_t202" coordsize="21600,21600" o:spt="202" path="m,l,21600r21600,l21600,xe">
                <v:stroke joinstyle="miter"/>
                <v:path gradientshapeok="t" o:connecttype="rect"/>
              </v:shapetype>
              <v:shape id="Casella di testo 15" o:spid="_x0000_s1026" type="#_x0000_t202" style="position:absolute;margin-left:0;margin-top:14.7pt;width:443.7pt;height:97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" fillcolor="#deeaf6 [664]" strokeweight=".5pt">
                <v:textbox>
                  <w:txbxContent>
                    <w:p w:rsidR="004126FE" w:rsidRDefault="004126FE" w:rsidP="004126FE">
                      <w:r>
                        <w:t>Note del RPCT:</w:t>
                      </w:r>
                    </w:p>
                    <w:p w:rsidR="004126FE" w:rsidRDefault="004126FE" w:rsidP="004126FE">
                      <w:r>
                        <w:t xml:space="preserve">L’anno trascorso è stato segnato profondamente dalla pandemia da Covid-19 che ha impedito o comunque rallentato il confronto e la condivisione tra le persone. </w:t>
                      </w:r>
                    </w:p>
                    <w:p w:rsidR="004126FE" w:rsidRDefault="004126FE" w:rsidP="004126FE">
                      <w:r>
                        <w:t>In generale, t</w:t>
                      </w:r>
                      <w:r>
                        <w:t xml:space="preserve">alune procedure </w:t>
                      </w:r>
                      <w:r>
                        <w:t xml:space="preserve">e misure individuate </w:t>
                      </w:r>
                      <w:bookmarkStart w:id="6" w:name="_GoBack"/>
                      <w:bookmarkEnd w:id="6"/>
                      <w:r>
                        <w:t>hanno risentito di queste criticità nel loro processo naturale di aggiornamento.</w:t>
                      </w:r>
                    </w:p>
                    <w:p w:rsidR="004126FE" w:rsidRDefault="004126FE" w:rsidP="004126FE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4126FE" w:rsidRDefault="004126FE" w:rsidP="00A82AEF"/>
    <w:p w:rsidR="003C0D8A" w:rsidRPr="00B50D70" w:rsidRDefault="00C531CD" w:rsidP="00DD6527">
      <w:pPr>
        <w:pStyle w:val="Titolo2"/>
      </w:pPr>
      <w:bookmarkStart w:id="7" w:name="_Toc56760955"/>
      <w:r w:rsidRPr="00BC0BA9">
        <w:t xml:space="preserve">Doveri </w:t>
      </w:r>
      <w:r w:rsidR="006F7329" w:rsidRPr="00BC0BA9">
        <w:t>di comportamento</w:t>
      </w:r>
      <w:bookmarkEnd w:id="7"/>
      <w:r w:rsidR="00121F5F" w:rsidRPr="004A21A7">
        <w:rPr>
          <w:color w:val="FF0000"/>
        </w:rPr>
        <w:t xml:space="preserve"> </w:t>
      </w:r>
    </w:p>
    <w:p w:rsidR="00B50D70" w:rsidRDefault="00B50D70" w:rsidP="00B50D70"/>
    <w:p w:rsidR="00997BF2" w:rsidRDefault="00997BF2" w:rsidP="00FB676F">
      <w:r>
        <w:t>Le misure atte a disciplinare e a sanzionare i comportamenti rilevanti ai fini della prevenzione della corruzione ai sensi della Legge n. 190/2012 sono state previste come integrazione del codice etico già adottato ai sensi del d.lgs. 231/2001 e sono state adottare nel2016</w:t>
      </w:r>
      <w:r>
        <w:br/>
      </w:r>
      <w:r>
        <w:br/>
        <w:t>Tutti gli atti di incarico e i relativi contratti, sono stati adeguati alle previsioni del Codice di Comportamento adottato.</w:t>
      </w:r>
      <w:r>
        <w:br/>
      </w:r>
      <w:r>
        <w:br/>
        <w:t>Non sono state adottate ulteriori misure che garantiscono l'attuazione delle misure comportamentali per le seguenti motivazioni:</w:t>
      </w:r>
      <w:r>
        <w:br/>
        <w:t>sono state ritenute sufficienti quelle già riportate nel Piano</w:t>
      </w:r>
      <w:r>
        <w:br/>
      </w:r>
      <w:r>
        <w:br/>
        <w:t>È stata prevista una apposita procedura di rilevazione delle situazioni di conflitto di interessi potenziale o reale in particolare sono state effettuate le seguenti attività:</w:t>
      </w:r>
      <w:r>
        <w:br/>
        <w:t xml:space="preserve">  - acquisizione e conservazione delle dichiarazioni di insussistenza di situazioni di conflitto di interessi da parte dei dipendenti al momento dell’assegnazione all’ufficio o della nomina a RUP</w:t>
      </w:r>
      <w:r>
        <w:br/>
        <w:t xml:space="preserve">  - monitoraggio delle situazioni di conflitto di interessi, attraverso la richiesta ai dipendenti di aggiornare con cadenza periodica delle dichiarazioni</w:t>
      </w:r>
      <w:r>
        <w:br/>
        <w:t xml:space="preserve">  - individuazione dei soggetti tenuti a ricevere e valutare le situazioni di conflitto di interessi</w:t>
      </w:r>
      <w:r>
        <w:br/>
        <w:t xml:space="preserve">  - individuazione dei soggetti tenuti a ricevere e valutare le eventuali dichiarazioni di conflitto di interessi rilasciate dai dirigenti, dai vertici amministrativi, da consulenti o da titolari di altre posizioni organizzative</w:t>
      </w:r>
      <w:r>
        <w:br/>
        <w:t xml:space="preserve">  - predisposizione di appositi moduli per agevolare la tempestiva presentazione della dichiarazione sulla sussistenza di situazioni di conflitto di interessi</w:t>
      </w:r>
      <w:r>
        <w:br/>
        <w:t xml:space="preserve">  - attività di sensibilizzazione del personale al rispetto di quanto previsto in materia dalla l. n. 241/1990 e dalle misure di comportamento</w:t>
      </w:r>
    </w:p>
    <w:p w:rsidR="00BE39BE" w:rsidRDefault="00BE39BE" w:rsidP="00A82AEF"/>
    <w:p w:rsidR="00BE39BE" w:rsidRPr="00B50D70" w:rsidRDefault="00BE39BE" w:rsidP="00DD6527">
      <w:pPr>
        <w:pStyle w:val="Titolo2"/>
      </w:pPr>
      <w:bookmarkStart w:id="8" w:name="_Toc56760956"/>
      <w:r>
        <w:t>Rotazione del personale</w:t>
      </w:r>
      <w:bookmarkEnd w:id="8"/>
      <w:r w:rsidRPr="00995656">
        <w:t xml:space="preserve"> </w:t>
      </w:r>
    </w:p>
    <w:p w:rsidR="0097533D" w:rsidRDefault="0097533D" w:rsidP="002A0EC3"/>
    <w:p w:rsidR="00380B17" w:rsidRDefault="00380B17" w:rsidP="00380B17">
      <w:pPr>
        <w:pStyle w:val="Titolo3"/>
      </w:pPr>
      <w:bookmarkStart w:id="9" w:name="_Toc56760957"/>
      <w:r w:rsidRPr="00380B17">
        <w:t>Rotazione</w:t>
      </w:r>
      <w:r>
        <w:t xml:space="preserve"> </w:t>
      </w:r>
      <w:r w:rsidR="002751BC">
        <w:t>ordinaria</w:t>
      </w:r>
      <w:bookmarkEnd w:id="9"/>
    </w:p>
    <w:p w:rsidR="00997BF2" w:rsidRDefault="00997BF2" w:rsidP="00050F7D">
      <w:r>
        <w:t>Nel documento unitario che tiene luogo del PTPCT o nella sezione apposita del M.O.G. non è stata prevista la misura della Rotazione Ordinaria del Personale per le seguenti motivazioni: In considerazione del numero minimo delle risorse umane, la misura non era attuabile. In alternativa è stata individuata la misura della separazione delle funzioni già definita all'interno del MOG adottato dalla società dal 2016</w:t>
      </w:r>
    </w:p>
    <w:p w:rsidR="00997BF2" w:rsidRDefault="00997BF2" w:rsidP="00050F7D"/>
    <w:p w:rsidR="00997BF2" w:rsidRDefault="00997BF2" w:rsidP="00050F7D">
      <w:r>
        <w:t>Nell'anno di riferimento delle misure di prevenzione della corruzione in esame, la società/ente non è stata interessata da un processo di riorganizzazione.</w:t>
      </w:r>
    </w:p>
    <w:p w:rsidR="00C74F37" w:rsidRDefault="00C74F37" w:rsidP="00050F7D"/>
    <w:p w:rsidR="00C74F37" w:rsidRDefault="00C74F37" w:rsidP="00380B17">
      <w:pPr>
        <w:pStyle w:val="Titolo3"/>
      </w:pPr>
      <w:bookmarkStart w:id="10" w:name="_Toc56760958"/>
      <w:r w:rsidRPr="00380B17">
        <w:t>Rotazione</w:t>
      </w:r>
      <w:r>
        <w:t xml:space="preserve"> straordinaria</w:t>
      </w:r>
      <w:bookmarkEnd w:id="10"/>
    </w:p>
    <w:p w:rsidR="00997BF2" w:rsidRDefault="00997BF2" w:rsidP="00050F7D">
      <w:r>
        <w:br/>
        <w:t>Nel documento unitario che tiene luogo del PTPCT o nella sezione apposita del M.O.G. si è scelto di non prevedere azioni e modalità organizzative relative alla Rotazione Straordinaria del Personale.</w:t>
      </w:r>
      <w:r>
        <w:br/>
      </w:r>
      <w:r>
        <w:br/>
        <w:t>Nell'anno di riferimento delle misure di prevenzione della corruzione in esame, la Rotazione Straordinaria non si è resa necessaria per assenza di procedimenti penali o disciplinari.</w:t>
      </w:r>
    </w:p>
    <w:p w:rsidR="00C74F37" w:rsidRDefault="00C74F37" w:rsidP="00050F7D"/>
    <w:p w:rsidR="00C74F37" w:rsidRDefault="00C74F37" w:rsidP="00380B17">
      <w:pPr>
        <w:pStyle w:val="Titolo3"/>
      </w:pPr>
      <w:bookmarkStart w:id="11" w:name="_Toc56760959"/>
      <w:r>
        <w:t>Trasferimento d’ufficio</w:t>
      </w:r>
      <w:bookmarkEnd w:id="11"/>
    </w:p>
    <w:p w:rsidR="00997BF2" w:rsidRDefault="00997BF2" w:rsidP="00050F7D">
      <w:r>
        <w:br/>
        <w:t>Nel documento unitario che tiene luogo del PTPCT o nella sezione apposita del M.O.G. non sono previste misure ai sensi dell'art. 3 della L. n. 97/2001 per le seguenti motivazioni:E' stato individuato il sistema sanzionatorio a carico di tutti i dipendenti che violano il MOG, quindi anche il Piano anticorruzione che ne è parte, ed il Codice etico. La società non ha potuto stabilire il trasferimento ad altri incarichi in considerazione del fatto che sono in forza n. 9 dipendenti</w:t>
      </w:r>
      <w:r>
        <w:br/>
      </w:r>
      <w:r>
        <w:br/>
        <w:t>Nell'anno di riferimento delle misure di prevenzione della corruzione in esame, in assenza di rinvii a giudizio per i delitti previsti dall'art. 3, comma 1, della L. n. 97/2001, non si è reso necessario adottare attribuzioni di incarichi differenti, trasferimenti ad uffici diversi, trasferimenti di sede.</w:t>
      </w:r>
    </w:p>
    <w:p w:rsidR="00BE39BE" w:rsidRDefault="00BE39BE" w:rsidP="00A82AEF"/>
    <w:p w:rsidR="00425435" w:rsidRPr="00B50D70" w:rsidRDefault="0076725D" w:rsidP="00DD6527">
      <w:pPr>
        <w:pStyle w:val="Titolo2"/>
      </w:pPr>
      <w:bookmarkStart w:id="12" w:name="_Toc56760960"/>
      <w:r>
        <w:t>Misure in materia di conflitto di interessi</w:t>
      </w:r>
      <w:bookmarkEnd w:id="12"/>
      <w:r w:rsidR="00425435" w:rsidRPr="00995656">
        <w:t xml:space="preserve"> </w:t>
      </w:r>
    </w:p>
    <w:p w:rsidR="0069341C" w:rsidRDefault="0069341C" w:rsidP="0083587B"/>
    <w:p w:rsidR="0069341C" w:rsidRDefault="0069341C" w:rsidP="0083587B">
      <w:r>
        <w:t>Le misure in materia di inconferibilità e incompatibilità degli incarichi non sono state programmate nel documento unitario che tiene luogo del PTPCT o nella sezione apposita del M.O.G. in esame o, laddove siano state già adottate negli anni precedenti, non si prevede di realizzare interventi correttivi o ad esse collegati per le seguenti motivazioni:</w:t>
      </w:r>
      <w:r>
        <w:br/>
        <w:t>Non essendoci figure dirigenziali, si effettua una verifica analitica per gli incarichi di consigliere di amministrazione</w:t>
      </w:r>
    </w:p>
    <w:p w:rsidR="0069341C" w:rsidRDefault="0069341C" w:rsidP="0083587B"/>
    <w:p w:rsidR="002A40F1" w:rsidRPr="00B50D70" w:rsidRDefault="002A40F1" w:rsidP="00DD6527">
      <w:pPr>
        <w:pStyle w:val="Titolo2"/>
      </w:pPr>
      <w:bookmarkStart w:id="13" w:name="_Toc56760961"/>
      <w:proofErr w:type="spellStart"/>
      <w:r>
        <w:t>Whistleblowing</w:t>
      </w:r>
      <w:bookmarkEnd w:id="13"/>
      <w:proofErr w:type="spellEnd"/>
      <w:r w:rsidRPr="00995656">
        <w:t xml:space="preserve"> </w:t>
      </w:r>
    </w:p>
    <w:p w:rsidR="000076D6" w:rsidRDefault="000076D6" w:rsidP="00D352E2"/>
    <w:p w:rsidR="000076D6" w:rsidRDefault="000076D6" w:rsidP="00D352E2">
      <w:r>
        <w:t xml:space="preserve">Nell'anno di riferimento delle misure di prevenzione della corruzione in esame, sono stati adottati gli interventi idonei a garantire l’adozione della misura “Whistleblowing”, in particolare le </w:t>
      </w:r>
      <w:r>
        <w:lastRenderedPageBreak/>
        <w:t>segnalazioni possono essere inoltrate tramite:</w:t>
      </w:r>
      <w:r>
        <w:br/>
        <w:t xml:space="preserve">  - Documento cartaceo</w:t>
      </w:r>
      <w:r>
        <w:br/>
        <w:t xml:space="preserve">  - Email</w:t>
      </w:r>
    </w:p>
    <w:p w:rsidR="000076D6" w:rsidRDefault="000076D6" w:rsidP="00D352E2">
      <w:r>
        <w:br/>
        <w:t>Possono effettuare le segnalazioni solo gli altri soggetti assimilati a dipendenti pubblici quali ad esempio:</w:t>
      </w:r>
      <w:r>
        <w:br/>
        <w:t xml:space="preserve">  - Il segnalante deve rivestire la qualifica di dipendente pubblico o equiparato sulla base di quanto previsto dalle nuova Linee Guida ANAC</w:t>
      </w:r>
      <w:r>
        <w:br/>
      </w:r>
      <w:r>
        <w:br/>
        <w:t>In merito al sistema di tutela del dipendente pubblico che segnala gli illeciti, si riporta il seguente giudizio: Il sistema di tutela di ritiene sufficiente considerando che la società non ha adottato un sistema informatico dedicato per le segnalazioni</w:t>
      </w:r>
    </w:p>
    <w:p w:rsidR="00F96FBD" w:rsidRDefault="00F96FBD" w:rsidP="00F96FBD">
      <w:pPr>
        <w:pBdr>
          <w:bottom w:val="single" w:sz="4" w:space="1" w:color="auto"/>
        </w:pBdr>
      </w:pPr>
    </w:p>
    <w:p w:rsidR="001F3A1E" w:rsidRPr="00B50D70" w:rsidRDefault="001F3A1E" w:rsidP="001F3A1E">
      <w:pPr>
        <w:pStyle w:val="Titolo2"/>
      </w:pPr>
      <w:bookmarkStart w:id="14" w:name="_Toc19022237"/>
      <w:bookmarkStart w:id="15" w:name="_Toc56760962"/>
      <w:r>
        <w:t>Formazione</w:t>
      </w:r>
      <w:bookmarkEnd w:id="14"/>
      <w:bookmarkEnd w:id="15"/>
      <w:r w:rsidRPr="00995656">
        <w:t xml:space="preserve"> </w:t>
      </w:r>
    </w:p>
    <w:p w:rsidR="001F3A1E" w:rsidRPr="00C7442D" w:rsidRDefault="001F3A1E" w:rsidP="001F3A1E"/>
    <w:p w:rsidR="00945379" w:rsidRDefault="00945379" w:rsidP="00D352E2">
      <w:r>
        <w:t xml:space="preserve">La formazione in materia di prevenzione della corruzione e trasparenza, pur essendo stata programmata nel documento unitario che tiene luogo del PTPCT o nella sezione apposita del M.O.G. di riferimento, non è stata ancora attuata, in particolare: </w:t>
      </w:r>
      <w:r>
        <w:br/>
        <w:t>Sono state avviate le attività e, dunque, è attualmente in corso di adozione.</w:t>
      </w:r>
    </w:p>
    <w:p w:rsidR="004126FE" w:rsidRDefault="004126FE" w:rsidP="00D352E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A2C492" wp14:editId="1E5BE3A4">
                <wp:simplePos x="0" y="0"/>
                <wp:positionH relativeFrom="margin">
                  <wp:posOffset>0</wp:posOffset>
                </wp:positionH>
                <wp:positionV relativeFrom="paragraph">
                  <wp:posOffset>186055</wp:posOffset>
                </wp:positionV>
                <wp:extent cx="5634990" cy="1236345"/>
                <wp:effectExtent l="0" t="0" r="22860" b="20955"/>
                <wp:wrapTopAndBottom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123637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26FE" w:rsidRDefault="004126FE" w:rsidP="004126FE">
                            <w:r>
                              <w:t>Note del RPCT:</w:t>
                            </w:r>
                          </w:p>
                          <w:p w:rsidR="004126FE" w:rsidRDefault="004126FE" w:rsidP="004126FE">
                            <w:r>
                              <w:t xml:space="preserve">L’anno trascorso è stato segnato profondamente dalla pandemia da Covid-19 che ha impedito o comunque rallentato il confronto e la condivisione tra le persone. </w:t>
                            </w:r>
                          </w:p>
                          <w:p w:rsidR="004126FE" w:rsidRDefault="004126FE" w:rsidP="004126FE">
                            <w:r>
                              <w:t>Talune procedure</w:t>
                            </w:r>
                            <w:r>
                              <w:t xml:space="preserve"> - tra cui il processo formativo del personale -</w:t>
                            </w:r>
                            <w:r>
                              <w:t xml:space="preserve"> hanno risentito di queste criticità nel loro processo naturale di aggiornamento.</w:t>
                            </w:r>
                          </w:p>
                          <w:p w:rsidR="004126FE" w:rsidRDefault="004126FE" w:rsidP="00412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C492" id="Casella di testo 21" o:spid="_x0000_s1027" type="#_x0000_t202" style="position:absolute;margin-left:0;margin-top:14.65pt;width:443.7pt;height:97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" fillcolor="#deeaf6 [664]" strokeweight=".5pt">
                <v:textbox>
                  <w:txbxContent>
                    <w:p w:rsidR="004126FE" w:rsidRDefault="004126FE" w:rsidP="004126FE">
                      <w:r>
                        <w:t>Note del RPCT:</w:t>
                      </w:r>
                    </w:p>
                    <w:p w:rsidR="004126FE" w:rsidRDefault="004126FE" w:rsidP="004126FE">
                      <w:r>
                        <w:t xml:space="preserve">L’anno trascorso è stato segnato profondamente dalla pandemia da Covid-19 che ha impedito o comunque rallentato il confronto e la condivisione tra le persone. </w:t>
                      </w:r>
                    </w:p>
                    <w:p w:rsidR="004126FE" w:rsidRDefault="004126FE" w:rsidP="004126FE">
                      <w:r>
                        <w:t>Talune procedure</w:t>
                      </w:r>
                      <w:r>
                        <w:t xml:space="preserve"> - tra cui il processo formativo del personale -</w:t>
                      </w:r>
                      <w:r>
                        <w:t xml:space="preserve"> hanno risentito di queste criticità nel loro processo naturale di aggiornamento.</w:t>
                      </w:r>
                    </w:p>
                    <w:p w:rsidR="004126FE" w:rsidRDefault="004126FE" w:rsidP="004126FE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4126FE" w:rsidRDefault="004126FE" w:rsidP="00D352E2"/>
    <w:p w:rsidR="00FF5F58" w:rsidRPr="00FF5F58" w:rsidRDefault="00FF5F58" w:rsidP="00DD6527">
      <w:pPr>
        <w:pStyle w:val="Titolo2"/>
      </w:pPr>
      <w:bookmarkStart w:id="16" w:name="_Toc56760963"/>
      <w:r>
        <w:t>Trasparenza</w:t>
      </w:r>
      <w:bookmarkEnd w:id="16"/>
    </w:p>
    <w:p w:rsidR="006D748D" w:rsidRDefault="006D748D" w:rsidP="00D352E2"/>
    <w:p w:rsidR="006D748D" w:rsidRDefault="006D748D" w:rsidP="00D352E2">
      <w:r>
        <w:t>Nell'anno di riferimento delle misure di prevenzione della corruzione in esame, sono stati svolti monitoraggi sulla pubblicazione dei dati con periodicità trimestrale.</w:t>
      </w:r>
      <w:r>
        <w:br/>
        <w:t>I monitoraggi non hanno evidenziato irregolarità nella pubblicazione dei dati.</w:t>
      </w:r>
    </w:p>
    <w:p w:rsidR="006D748D" w:rsidRDefault="006D748D" w:rsidP="00D352E2">
      <w:r>
        <w:br/>
        <w:t>La società/ente non ha realizzato l'informatizzazione del flusso per alimentare la pubblicazione dei dati nella sezione “Amministrazione/Società trasparente” per le seguenti motivazioni:</w:t>
      </w:r>
      <w:r>
        <w:br/>
        <w:t>la società effettua l'alimentazione dei dati con personale dedicato</w:t>
      </w:r>
      <w:r>
        <w:br/>
      </w:r>
      <w:r>
        <w:br/>
        <w:t>Il sito istituzionale, relativamente alla sezione "Amministrazione trasparente", non traccia il numero delle visite.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l’indirizzo email</w:t>
      </w:r>
      <w:r>
        <w:br/>
      </w:r>
      <w:r>
        <w:br/>
        <w:t xml:space="preserve">Nell’anno di riferimento delle misure di prevenzione della corruzione in esame sono pervenute 1 </w:t>
      </w:r>
      <w:r>
        <w:lastRenderedPageBreak/>
        <w:t xml:space="preserve">richieste di accesso civico “semplice” </w:t>
      </w:r>
      <w:r>
        <w:br/>
      </w:r>
      <w:r>
        <w:br/>
        <w:t>La procedura per la gestione delle richieste di accesso civico “generalizzato” è stata adottata e pubblicata sul sito istituzionale.</w:t>
      </w:r>
      <w:r>
        <w:br/>
        <w:t>Sono stati inoltre pubblicati:</w:t>
      </w:r>
      <w:r>
        <w:br/>
        <w:t xml:space="preserve">  - l’ufficio competente</w:t>
      </w:r>
      <w:r>
        <w:br/>
        <w:t xml:space="preserve">  - l’indirizzo email</w:t>
      </w:r>
      <w:r>
        <w:br/>
      </w:r>
      <w:r>
        <w:br/>
        <w:t>Nell’anno di riferimento delle misure di prevenzione della corruzione in esame non sono pervenute richieste di accesso civico “generalizzato”.</w:t>
      </w:r>
      <w:r>
        <w:br/>
      </w:r>
      <w:r>
        <w:br/>
        <w:t>La procedura per la gestione delle richieste di accesso documentale ai sensi della legge n. 241/1990 non è stata adottata e pubblicata sul sito istituzionale per le seguenti motivazioni:</w:t>
      </w:r>
      <w:r>
        <w:br/>
        <w:t xml:space="preserve"> non si è ritenuto necessario per la realtà aziendale</w:t>
      </w:r>
      <w:r>
        <w:br/>
      </w:r>
      <w:r>
        <w:br/>
        <w:t>Nell’anno di riferimento delle misure di prevenzione della corruzione in esame, non sono pervenute richieste di accesso documentale.</w:t>
      </w:r>
      <w:r>
        <w:br/>
      </w:r>
      <w:r>
        <w:br/>
        <w:t>È stato istituito il registro degli accessi ed è stata rispettata l'indicazione che prevede di riportare nel registro l'esito delle istanze</w:t>
      </w:r>
      <w:r>
        <w:br/>
      </w:r>
      <w:r>
        <w:br/>
        <w:t>In merito al livello di adempimento degli obblighi di trasparenza, si formula il seguente giudizio: giudizio complessivamente positivo</w:t>
      </w:r>
    </w:p>
    <w:p w:rsidR="00D866D2" w:rsidRDefault="00D866D2" w:rsidP="00A82AEF"/>
    <w:p w:rsidR="00FC1197" w:rsidRPr="00FF5F58" w:rsidRDefault="00FC1197" w:rsidP="00DD6527">
      <w:pPr>
        <w:pStyle w:val="Titolo2"/>
      </w:pPr>
      <w:bookmarkStart w:id="17" w:name="_Toc56760964"/>
      <w:proofErr w:type="spellStart"/>
      <w:r>
        <w:t>Pantouflage</w:t>
      </w:r>
      <w:bookmarkEnd w:id="17"/>
      <w:proofErr w:type="spellEnd"/>
    </w:p>
    <w:p w:rsidR="00532C1C" w:rsidRDefault="00532C1C" w:rsidP="006A67D1"/>
    <w:p w:rsidR="00FB7747" w:rsidRDefault="00FB7747" w:rsidP="00A82AEF">
      <w:r>
        <w:br/>
        <w:t>La misura “Pantouflage”, pur essendo stata programmata nel documento unitario che tiene luogo del PTPCT o nella sezione apposita del M.O.G. di riferimento, non è stata ancora attuata, in particolare:</w:t>
      </w:r>
      <w:r>
        <w:br/>
        <w:t>Sono state avviate le attività e, dunque, è attualmente in corso di adozione.</w:t>
      </w:r>
    </w:p>
    <w:p w:rsidR="005B20C9" w:rsidRDefault="005B20C9" w:rsidP="00A82AEF"/>
    <w:p w:rsidR="005B20C9" w:rsidRPr="00FF5F58" w:rsidRDefault="005B20C9" w:rsidP="00DD6527">
      <w:pPr>
        <w:pStyle w:val="Titolo2"/>
      </w:pPr>
      <w:bookmarkStart w:id="18" w:name="_Toc56760965"/>
      <w:r w:rsidRPr="005B20C9">
        <w:t>Commissioni e conferimento incarichi in caso di condanna</w:t>
      </w:r>
      <w:bookmarkEnd w:id="18"/>
    </w:p>
    <w:p w:rsidR="005A1288" w:rsidRDefault="00C81DD0" w:rsidP="00234BAF">
      <w:pPr>
        <w:spacing w:before="240"/>
      </w:pPr>
      <w:r>
        <w:t>Ferma restando la non applicabilità dell'art. 35 bis D.lgs. n. 165/2001 alle società/enti, e fatte salve le misure disciplinari eventualmente previste dai CCNL, la misura “Commissioni, assegnazioni di uffici e conferimento di incarichi in caso di condanna per delitti contro le PA” non è stata programmata nel documento unitario che tiene luogo del PTPCT o nella sezione apposita del M.O.G. in esame o, laddove la misura sia stata già adottata negli anni precedenti, non si prevede di realizzare interventi idonei a garantire la corretta e continua attuazione della stessa.</w:t>
      </w:r>
    </w:p>
    <w:p w:rsidR="005745AF" w:rsidRDefault="005745AF" w:rsidP="00A82AEF"/>
    <w:p w:rsidR="0038654E" w:rsidRPr="00FF5F58" w:rsidRDefault="008D1456" w:rsidP="0038654E">
      <w:pPr>
        <w:pStyle w:val="Titolo2"/>
      </w:pPr>
      <w:bookmarkStart w:id="19" w:name="_Toc56760966"/>
      <w:r>
        <w:t>Patti di integrità</w:t>
      </w:r>
      <w:bookmarkEnd w:id="19"/>
    </w:p>
    <w:p w:rsidR="00FB7747" w:rsidRDefault="00FB7747" w:rsidP="0010188D"/>
    <w:p w:rsidR="00FB7747" w:rsidRDefault="00FB7747" w:rsidP="0010188D">
      <w:r>
        <w:t xml:space="preserve">La misura “Patti di Integrità” non è stata programmata nel documento unitario che tiene luogo del PTPCT o nella sezione apposita del M.O.G. in esame o, laddove la misura sia stata già adottata negli anni precedenti, non si prevede di realizzare interventi correttivi o ad essa collegati per le seguenti motivazioni: la società ha adottato un regolamento aziendale per le acquisizioni di lavori, </w:t>
      </w:r>
      <w:r>
        <w:lastRenderedPageBreak/>
        <w:t>beni e servizi in economia. E' in corso di valutazione la revisione con il possibile inserimento dell'obbligatorietà della stipula di patti di integrità</w:t>
      </w:r>
    </w:p>
    <w:p w:rsidR="00BF1D64" w:rsidRDefault="00BF1D64" w:rsidP="00A82AEF"/>
    <w:p w:rsidR="00393E5A" w:rsidRPr="00FF5F58" w:rsidRDefault="00393E5A" w:rsidP="00393E5A">
      <w:pPr>
        <w:pStyle w:val="Titolo2"/>
      </w:pPr>
      <w:bookmarkStart w:id="20" w:name="_Toc56760967"/>
      <w:r>
        <w:t>Considerazioni</w:t>
      </w:r>
      <w:r w:rsidR="00E90418">
        <w:t xml:space="preserve"> </w:t>
      </w:r>
      <w:r>
        <w:t>conclusive sull’attuazione delle misure generali</w:t>
      </w:r>
      <w:bookmarkEnd w:id="20"/>
    </w:p>
    <w:p w:rsidR="00FB7747" w:rsidRDefault="00FB7747" w:rsidP="00F54F1D"/>
    <w:p w:rsidR="003C0D8A" w:rsidRDefault="00CF2A06" w:rsidP="00A82AEF">
      <w:r>
        <w:t>Il complesso delle misure attuate ha avuto un impatto/effetto (diretto o indiretto):</w:t>
      </w:r>
      <w:r>
        <w:br/>
        <w:t xml:space="preserve">  - neutrale sulla qualità dei servizi</w:t>
      </w:r>
      <w:r>
        <w:br/>
        <w:t xml:space="preserve">  - neutrale sull'efficienza dei servizi (es. in termini di riduzione dei tempi di erogazione dei servizi)</w:t>
      </w:r>
      <w:r>
        <w:br/>
        <w:t xml:space="preserve">  - neutrale sul funzionamento della società/ente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neutrale sulle relazioni con i cittadini</w:t>
      </w:r>
      <w:r>
        <w:br/>
        <w:t xml:space="preserve">  - neutrale su si tratta di una piccola realtà con un numero molto limitato di risorse umane (n. 9), il che determina una problematica generale data dal tempo limitato a disposizione dei singoli impegnati negli impegni di lavoro quotidiani</w:t>
      </w:r>
    </w:p>
    <w:p w:rsidR="00F54F1D" w:rsidRDefault="00F54F1D" w:rsidP="00F54F1D"/>
    <w:p w:rsidR="00BF1D64" w:rsidRPr="00A82AEF" w:rsidRDefault="00BF1D64" w:rsidP="00BF1D64">
      <w:r>
        <w:t>RENDICONTAZIONE MISURE SPECIFICHE</w:t>
      </w:r>
    </w:p>
    <w:p w:rsidR="00F54F1D" w:rsidRDefault="00F54F1D" w:rsidP="00F54F1D"/>
    <w:p w:rsidR="00F54F1D" w:rsidRDefault="00F54F1D" w:rsidP="00F54F1D">
      <w:r>
        <w:t xml:space="preserve">La presente sezione illustra l’andamento relativo all’attuazione delle misure specifiche per </w:t>
      </w:r>
      <w:r w:rsidR="00B36318" w:rsidRPr="00FE575A">
        <w:rPr>
          <w:color w:val="000000" w:themeColor="text1"/>
        </w:rPr>
        <w:t xml:space="preserve">l’anno di riferimento </w:t>
      </w:r>
      <w:r w:rsidR="00B36318" w:rsidRPr="006D3C1D">
        <w:t>delle misure di prevenzione della corruzione in esame</w:t>
      </w:r>
      <w:r>
        <w:t>.</w:t>
      </w:r>
    </w:p>
    <w:p w:rsidR="001202D6" w:rsidRDefault="001202D6" w:rsidP="00A82AEF"/>
    <w:p w:rsidR="00E75EA4" w:rsidRPr="00DD6527" w:rsidRDefault="006460DC" w:rsidP="00E75EA4">
      <w:pPr>
        <w:pStyle w:val="Titolo2"/>
      </w:pPr>
      <w:bookmarkStart w:id="21" w:name="_Toc56760969"/>
      <w:r>
        <w:t>Quadro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:rsidR="005D6F2E" w:rsidRDefault="005D6F2E" w:rsidP="00A82AEF"/>
    <w:p w:rsidR="00B36318" w:rsidRDefault="00B36318" w:rsidP="00B36318">
      <w:r>
        <w:t>Nel corso dell’annualità di riferimento, lo stato di programmazione e attuazione delle misure specifiche è sintetizzato nella seguente tabella</w:t>
      </w:r>
    </w:p>
    <w:p w:rsidR="00B36318" w:rsidRDefault="00B36318" w:rsidP="00B3631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60"/>
        <w:gridCol w:w="1625"/>
        <w:gridCol w:w="1369"/>
        <w:gridCol w:w="1641"/>
        <w:gridCol w:w="1327"/>
      </w:tblGrid>
      <w:tr w:rsidR="009348D6" w:rsidTr="00315210">
        <w:tc>
          <w:tcPr>
            <w:tcW w:w="3014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88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532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906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382" w:type="dxa"/>
          </w:tcPr>
          <w:p w:rsidR="00B36318" w:rsidRPr="001C584C" w:rsidRDefault="00B36318" w:rsidP="001D26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124B31">
        <w:tc>
          <w:tcPr>
            <w:tcW w:w="0" w:type="auto"/>
          </w:tcPr>
          <w:p w:rsidR="00124B31" w:rsidRDefault="004126FE">
            <w:r>
              <w:t>Misure di trasparenza</w:t>
            </w:r>
          </w:p>
        </w:tc>
        <w:tc>
          <w:tcPr>
            <w:tcW w:w="0" w:type="auto"/>
          </w:tcPr>
          <w:p w:rsidR="00124B31" w:rsidRDefault="004126FE">
            <w:r>
              <w:t>1</w:t>
            </w:r>
          </w:p>
        </w:tc>
        <w:tc>
          <w:tcPr>
            <w:tcW w:w="0" w:type="auto"/>
          </w:tcPr>
          <w:p w:rsidR="00124B31" w:rsidRDefault="004126FE">
            <w:r>
              <w:t>1</w:t>
            </w:r>
          </w:p>
        </w:tc>
        <w:tc>
          <w:tcPr>
            <w:tcW w:w="0" w:type="auto"/>
          </w:tcPr>
          <w:p w:rsidR="00124B31" w:rsidRDefault="004126FE">
            <w:r>
              <w:t>0</w:t>
            </w:r>
          </w:p>
        </w:tc>
        <w:tc>
          <w:tcPr>
            <w:tcW w:w="0" w:type="auto"/>
          </w:tcPr>
          <w:p w:rsidR="00124B31" w:rsidRDefault="004126FE">
            <w:r>
              <w:t>100</w:t>
            </w:r>
          </w:p>
        </w:tc>
      </w:tr>
      <w:tr w:rsidR="00124B31">
        <w:tc>
          <w:tcPr>
            <w:tcW w:w="0" w:type="auto"/>
          </w:tcPr>
          <w:p w:rsidR="00124B31" w:rsidRDefault="004126FE">
            <w:r>
              <w:t>Misure di formazione</w:t>
            </w:r>
          </w:p>
        </w:tc>
        <w:tc>
          <w:tcPr>
            <w:tcW w:w="0" w:type="auto"/>
          </w:tcPr>
          <w:p w:rsidR="00124B31" w:rsidRDefault="004126FE">
            <w:r>
              <w:t>2</w:t>
            </w:r>
          </w:p>
        </w:tc>
        <w:tc>
          <w:tcPr>
            <w:tcW w:w="0" w:type="auto"/>
          </w:tcPr>
          <w:p w:rsidR="00124B31" w:rsidRDefault="004126FE">
            <w:r>
              <w:t>1</w:t>
            </w:r>
          </w:p>
        </w:tc>
        <w:tc>
          <w:tcPr>
            <w:tcW w:w="0" w:type="auto"/>
          </w:tcPr>
          <w:p w:rsidR="00124B31" w:rsidRDefault="004126FE">
            <w:r>
              <w:t>1</w:t>
            </w:r>
          </w:p>
        </w:tc>
        <w:tc>
          <w:tcPr>
            <w:tcW w:w="0" w:type="auto"/>
          </w:tcPr>
          <w:p w:rsidR="00124B31" w:rsidRDefault="004126FE">
            <w:r>
              <w:t>50</w:t>
            </w:r>
          </w:p>
        </w:tc>
      </w:tr>
      <w:tr w:rsidR="00124B31">
        <w:tc>
          <w:tcPr>
            <w:tcW w:w="0" w:type="auto"/>
          </w:tcPr>
          <w:p w:rsidR="00124B31" w:rsidRDefault="004126FE">
            <w:r>
              <w:t>Misure di disciplina del conflitto di interessi</w:t>
            </w:r>
          </w:p>
        </w:tc>
        <w:tc>
          <w:tcPr>
            <w:tcW w:w="0" w:type="auto"/>
          </w:tcPr>
          <w:p w:rsidR="00124B31" w:rsidRDefault="004126FE">
            <w:r>
              <w:t>2</w:t>
            </w:r>
          </w:p>
        </w:tc>
        <w:tc>
          <w:tcPr>
            <w:tcW w:w="0" w:type="auto"/>
          </w:tcPr>
          <w:p w:rsidR="00124B31" w:rsidRDefault="004126FE">
            <w:r>
              <w:t>1</w:t>
            </w:r>
          </w:p>
        </w:tc>
        <w:tc>
          <w:tcPr>
            <w:tcW w:w="0" w:type="auto"/>
          </w:tcPr>
          <w:p w:rsidR="00124B31" w:rsidRDefault="004126FE">
            <w:r>
              <w:t>1</w:t>
            </w:r>
          </w:p>
        </w:tc>
        <w:tc>
          <w:tcPr>
            <w:tcW w:w="0" w:type="auto"/>
          </w:tcPr>
          <w:p w:rsidR="00124B31" w:rsidRDefault="004126FE">
            <w:r>
              <w:t>50</w:t>
            </w:r>
          </w:p>
        </w:tc>
      </w:tr>
      <w:tr w:rsidR="00124B31">
        <w:tc>
          <w:tcPr>
            <w:tcW w:w="0" w:type="auto"/>
          </w:tcPr>
          <w:p w:rsidR="00124B31" w:rsidRDefault="004126FE">
            <w:r>
              <w:t>TOTALI</w:t>
            </w:r>
          </w:p>
        </w:tc>
        <w:tc>
          <w:tcPr>
            <w:tcW w:w="0" w:type="auto"/>
          </w:tcPr>
          <w:p w:rsidR="00124B31" w:rsidRDefault="004126FE">
            <w:r>
              <w:t>5</w:t>
            </w:r>
          </w:p>
        </w:tc>
        <w:tc>
          <w:tcPr>
            <w:tcW w:w="0" w:type="auto"/>
          </w:tcPr>
          <w:p w:rsidR="00124B31" w:rsidRDefault="004126FE">
            <w:r>
              <w:t>3</w:t>
            </w:r>
          </w:p>
        </w:tc>
        <w:tc>
          <w:tcPr>
            <w:tcW w:w="0" w:type="auto"/>
          </w:tcPr>
          <w:p w:rsidR="00124B31" w:rsidRDefault="004126FE">
            <w:r>
              <w:t>2</w:t>
            </w:r>
          </w:p>
        </w:tc>
        <w:tc>
          <w:tcPr>
            <w:tcW w:w="0" w:type="auto"/>
          </w:tcPr>
          <w:p w:rsidR="00124B31" w:rsidRDefault="004126FE">
            <w:r>
              <w:t>60</w:t>
            </w:r>
          </w:p>
        </w:tc>
      </w:tr>
    </w:tbl>
    <w:p w:rsidR="006E5641" w:rsidRDefault="006E5641" w:rsidP="00A82AEF"/>
    <w:p w:rsidR="00214959" w:rsidRDefault="00214959" w:rsidP="00A82AEF"/>
    <w:p w:rsidR="0017516A" w:rsidRPr="00B50D70" w:rsidRDefault="0017516A" w:rsidP="0017516A">
      <w:pPr>
        <w:pStyle w:val="Titolo1"/>
      </w:pPr>
      <w:bookmarkStart w:id="22" w:name="_Toc19022245"/>
      <w:bookmarkStart w:id="23" w:name="_Toc56760970"/>
      <w:r>
        <w:t>MONITORAGGIO GESTIONE DEL RISCHIO</w:t>
      </w:r>
      <w:bookmarkEnd w:id="22"/>
      <w:bookmarkEnd w:id="23"/>
      <w:r w:rsidRPr="00995656">
        <w:t xml:space="preserve"> </w:t>
      </w:r>
    </w:p>
    <w:p w:rsidR="0017516A" w:rsidRDefault="0017516A" w:rsidP="0017516A"/>
    <w:p w:rsidR="007F4D58" w:rsidRDefault="00B057F9" w:rsidP="007F4D58">
      <w:r>
        <w:t>Nel corso dell'anno di riferimento del PTPCT, non sono pervenute segnalazioni per eventi corruttivi.</w:t>
      </w:r>
      <w:r>
        <w:br/>
      </w:r>
      <w:r>
        <w:br/>
        <w:t xml:space="preserve">Si ritiene che la messa in atto del processo di gestione del rischio abbia generato dentro l’organizzazione i seguenti effetti: </w:t>
      </w:r>
      <w:r>
        <w:br/>
        <w:t xml:space="preserve">  - la consapevolezza del fenomeno corruttivo è rimasta invariata in ragione di: si tratta di una realtà aziendale molto ridotta (n. 9 risorse umane) con carichi di lavoro quotidiani consistenti che non lasciano molto tempo a disposizione. Non si sono registrati fenomeni corruttivi, la consapevolezza è rimasta quindi invariata</w:t>
      </w:r>
      <w:r>
        <w:br/>
      </w:r>
      <w:r>
        <w:lastRenderedPageBreak/>
        <w:t xml:space="preserve">  - la capacità di individuare e far emergere situazioni di rischio corruttivo e di intervenire con adeguati rimedi è rimasta invariata in ragione di: si tratta di una realtà aziendale molto ridotta (n. 9 risorse umane) con carichi di lavoro quotidiani consistenti che non lasciano molto tempo a disposizione. Non si sono registrati fenomeni corruttivi, la consapevolezza è rimasta quindi invariata</w:t>
      </w:r>
      <w:r>
        <w:br/>
        <w:t xml:space="preserve">  - la reputazione dell'ente è rimasta invariata in ragione di: si tratta di una realtà aziendale molto ridotta (n. 9 risorse umane) con carichi di lavoro quotidiani consistenti che non lasciano molto tempo a disposizione. Non si sono registrati fenomeni corruttivi, la consapevolezza è rimasta quindi invariata</w:t>
      </w:r>
    </w:p>
    <w:p w:rsidR="00BF1D64" w:rsidRDefault="00BF1D64" w:rsidP="0017516A"/>
    <w:p w:rsidR="0017516A" w:rsidRPr="00B50D70" w:rsidRDefault="0017516A" w:rsidP="0017516A">
      <w:pPr>
        <w:pStyle w:val="Titolo1"/>
      </w:pPr>
      <w:bookmarkStart w:id="24" w:name="_Toc19022247"/>
      <w:bookmarkStart w:id="25" w:name="_Toc56760971"/>
      <w:r>
        <w:t>MONITORAGGIO PROCEDIMENTI PENALI</w:t>
      </w:r>
      <w:bookmarkEnd w:id="24"/>
      <w:bookmarkEnd w:id="25"/>
      <w:r w:rsidRPr="00995656">
        <w:t xml:space="preserve"> </w:t>
      </w:r>
    </w:p>
    <w:p w:rsidR="001D26AC" w:rsidRDefault="001D26AC" w:rsidP="001D26AC">
      <w:pPr>
        <w:rPr>
          <w:color w:val="000000" w:themeColor="text1"/>
        </w:rPr>
      </w:pPr>
    </w:p>
    <w:p w:rsidR="00FB7747" w:rsidRDefault="00FB7747" w:rsidP="001D26AC">
      <w:pPr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“eventi corruttivi”,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non definitiva nei confronti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non è stata emessa nessuna sentenza di condanna definitiva nei confronti di dipendenti dell'amministrazione.</w:t>
      </w:r>
    </w:p>
    <w:p w:rsidR="0017516A" w:rsidRDefault="0017516A" w:rsidP="0017516A"/>
    <w:p w:rsidR="0017516A" w:rsidRPr="00B50D70" w:rsidRDefault="0017516A" w:rsidP="0017516A">
      <w:pPr>
        <w:pStyle w:val="Titolo1"/>
      </w:pPr>
      <w:bookmarkStart w:id="26" w:name="_Toc19022248"/>
      <w:bookmarkStart w:id="27" w:name="_Toc56760972"/>
      <w:r>
        <w:t>MONITORAGGIO PROCEDIMENTI DISCIPLINARI</w:t>
      </w:r>
      <w:bookmarkEnd w:id="26"/>
      <w:bookmarkEnd w:id="27"/>
      <w:r w:rsidRPr="00995656">
        <w:t xml:space="preserve"> </w:t>
      </w:r>
    </w:p>
    <w:p w:rsidR="00F30A9E" w:rsidRDefault="00F30A9E" w:rsidP="00F30A9E"/>
    <w:p w:rsidR="00FB7747" w:rsidRDefault="00FB7747" w:rsidP="00F30A9E">
      <w:r>
        <w:br/>
        <w:t>Nel corso dell’anno di riferimento del PTPCT non sono stati avviati procedimenti disciplinari riconducibili a eventi corruttivi a carico di dipendenti.</w:t>
      </w:r>
    </w:p>
    <w:p w:rsidR="0017516A" w:rsidRDefault="0017516A" w:rsidP="0017516A"/>
    <w:p w:rsidR="0017516A" w:rsidRDefault="0017516A" w:rsidP="0017516A">
      <w:pPr>
        <w:pStyle w:val="Titolo1"/>
      </w:pPr>
      <w:bookmarkStart w:id="28" w:name="_Toc56760973"/>
      <w:bookmarkStart w:id="29" w:name="_Toc19022249"/>
      <w:r>
        <w:t>CONSIDERAZIONI GENERALI</w:t>
      </w:r>
      <w:bookmarkEnd w:id="28"/>
      <w:r w:rsidRPr="00995656">
        <w:t xml:space="preserve"> </w:t>
      </w:r>
      <w:bookmarkEnd w:id="29"/>
    </w:p>
    <w:p w:rsidR="00364749" w:rsidRDefault="00364749" w:rsidP="00364749"/>
    <w:p w:rsidR="00364749" w:rsidRDefault="00364749" w:rsidP="00364749">
      <w:r>
        <w:t>Si ritiene che la messa in atto del processo di gestione del rischio abbia generato dentro l’organizzazione i seguenti effetti: medio per le seguenti ragioni: si ritiene buono il livello, considerando che si tratta di una realtà aziendale molto ridotta (n. 9 risorse umane) con carichi di lavoro quotidiani consistenti che non lasciano molto tempo a disposizione</w:t>
      </w:r>
      <w:r>
        <w:br/>
      </w:r>
      <w:r>
        <w:br/>
        <w:t>Si ritiene che l’idoneità complessiva della strategia di prevenzione della corruzione (definita attraverso una valutazione sintetica) con particolare riferimento alle misure previste nel Piano e attuate sia idoneo per le seguenti ragioni: si ritiene buono il livello, considerando che si tratta di una realtà aziendale molto ridotta (n. 9 risorse umane) con carichi di lavoro quotidiani consistenti che non lasciano molto tempo a disposizione</w:t>
      </w:r>
      <w:r>
        <w:br/>
      </w:r>
      <w:r>
        <w:br/>
        <w:t xml:space="preserve">Si ritiene che l'esercizio del ruolo di impulso e coordinamento del RPCT rispetto alla messa in atto del processo di gestione del rischio (definito attraverso una valutazione sintetica) sia stato idoneo </w:t>
      </w:r>
      <w:r>
        <w:lastRenderedPageBreak/>
        <w:t>per le seguenti ragioni: si ritiene buono il livello, considerando che si tratta di una realtà aziendale molto ridotta (n. 9 risorse umane) con carichi di lavoro quotidiani consistenti che non lasciano molto tempo a disposizione</w:t>
      </w:r>
    </w:p>
    <w:p w:rsidR="00364749" w:rsidRPr="00364749" w:rsidRDefault="00364749" w:rsidP="00364749"/>
    <w:p w:rsidR="00E46B44" w:rsidRDefault="00E46B44" w:rsidP="00E46B44">
      <w:pPr>
        <w:pStyle w:val="Titolo1"/>
      </w:pPr>
      <w:bookmarkStart w:id="30" w:name="_Toc56760974"/>
      <w:r>
        <w:t>MONITORAGGIO MISURE SPECIFICHE</w:t>
      </w:r>
      <w:bookmarkEnd w:id="30"/>
    </w:p>
    <w:p w:rsidR="00E46B44" w:rsidRDefault="00E46B44" w:rsidP="00E46B44"/>
    <w:p w:rsidR="00E46B44" w:rsidRDefault="00E46B44" w:rsidP="00E46B44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E46B44" w:rsidRDefault="00E46B44" w:rsidP="00E46B44"/>
    <w:p w:rsidR="00E46B44" w:rsidRPr="00380B17" w:rsidRDefault="00E46B44" w:rsidP="00380B17">
      <w:pPr>
        <w:pStyle w:val="Titolo2"/>
      </w:pPr>
      <w:bookmarkStart w:id="31" w:name="_Toc56760975"/>
      <w:r w:rsidRPr="00380B17">
        <w:t>Misure specifiche di controllo</w:t>
      </w:r>
      <w:bookmarkEnd w:id="31"/>
    </w:p>
    <w:p w:rsidR="00E46B44" w:rsidRDefault="00E46B44" w:rsidP="00E46B44"/>
    <w:p w:rsidR="00E46B44" w:rsidRDefault="00E46B44" w:rsidP="00E46B44">
      <w:r>
        <w:t>Non sono state programmate misure specifiche di controllo.</w:t>
      </w:r>
    </w:p>
    <w:p w:rsidR="00E46B44" w:rsidRDefault="00E46B44" w:rsidP="00E46B44"/>
    <w:p w:rsidR="00E46B44" w:rsidRDefault="00E46B44" w:rsidP="00380B17">
      <w:pPr>
        <w:pStyle w:val="Titolo2"/>
      </w:pPr>
      <w:bookmarkStart w:id="32" w:name="_Toc56760976"/>
      <w:r>
        <w:t xml:space="preserve">Misure </w:t>
      </w:r>
      <w:r w:rsidRPr="00380B17">
        <w:t>specifiche</w:t>
      </w:r>
      <w:r>
        <w:t xml:space="preserve"> di trasparenza</w:t>
      </w:r>
      <w:bookmarkEnd w:id="32"/>
    </w:p>
    <w:p w:rsidR="00E46B44" w:rsidRDefault="00E46B44" w:rsidP="00E46B44"/>
    <w:p w:rsidR="00E46B44" w:rsidRDefault="00E46B44" w:rsidP="00E46B44">
      <w:r>
        <w:t>Con riferimento all’attuazione delle misure specifiche di trasparenza, nell’anno di riferimento delle misure di prevenzione della corruzione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Di seguito si fornisce il dettaglio del monitoraggio per ogni singola misura di trasparenza programmata 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Accesso civico, whistleblowing, monitoraggio e vigilanza sull'attuazione degli obblighi di trasparenza, con audit periodici da parte dell'RPCT</w:t>
      </w:r>
      <w:r>
        <w:br/>
        <w:t>La misura è stata attuata nei tempi previsti.</w:t>
      </w:r>
    </w:p>
    <w:p w:rsidR="00E46B44" w:rsidRDefault="00E46B44" w:rsidP="00E46B44"/>
    <w:p w:rsidR="00E46B44" w:rsidRDefault="00E46B44" w:rsidP="00380B17">
      <w:pPr>
        <w:pStyle w:val="Titolo2"/>
      </w:pPr>
      <w:bookmarkStart w:id="33" w:name="_Toc56760977"/>
      <w:r>
        <w:t>Misure specifiche di definizione e promozione dell’etica e di standard di comportamento</w:t>
      </w:r>
      <w:bookmarkEnd w:id="33"/>
    </w:p>
    <w:p w:rsidR="00E46B44" w:rsidRDefault="00E46B44" w:rsidP="00E46B44"/>
    <w:p w:rsidR="00E46B44" w:rsidRDefault="00E46B44" w:rsidP="00E46B44">
      <w:r>
        <w:t>Non sono state programmate misure specifiche di definizione e promozione dell’etica e di standard di comportamento.</w:t>
      </w:r>
    </w:p>
    <w:p w:rsidR="00E46B44" w:rsidRDefault="00E46B44" w:rsidP="00E46B44">
      <w:pPr>
        <w:rPr>
          <w:u w:val="single"/>
        </w:rPr>
      </w:pPr>
    </w:p>
    <w:p w:rsidR="00E46B44" w:rsidRDefault="00E46B44" w:rsidP="00380B17">
      <w:pPr>
        <w:pStyle w:val="Titolo2"/>
      </w:pPr>
      <w:bookmarkStart w:id="34" w:name="_Toc56760978"/>
      <w:r>
        <w:t>Misure specifiche di regolamentazione</w:t>
      </w:r>
      <w:bookmarkEnd w:id="34"/>
    </w:p>
    <w:p w:rsidR="00E46B44" w:rsidRDefault="00E46B44" w:rsidP="00E46B44">
      <w:pPr>
        <w:rPr>
          <w:u w:val="single"/>
        </w:rPr>
      </w:pPr>
    </w:p>
    <w:p w:rsidR="00E46B44" w:rsidRDefault="00E46B44" w:rsidP="00E46B44">
      <w:r>
        <w:t>Non sono state programmate misure specifiche di regolamentazione.</w:t>
      </w:r>
    </w:p>
    <w:p w:rsidR="00E46B44" w:rsidRDefault="00E46B44" w:rsidP="00E46B44"/>
    <w:p w:rsidR="00E46B44" w:rsidRDefault="00E46B44" w:rsidP="00380B17">
      <w:pPr>
        <w:pStyle w:val="Titolo2"/>
      </w:pPr>
      <w:bookmarkStart w:id="35" w:name="_Toc56760979"/>
      <w:r w:rsidRPr="00380B17">
        <w:t>Misure</w:t>
      </w:r>
      <w:r>
        <w:t xml:space="preserve"> specifiche di semplificazione</w:t>
      </w:r>
      <w:bookmarkEnd w:id="35"/>
    </w:p>
    <w:p w:rsidR="00E46B44" w:rsidRDefault="00E46B44" w:rsidP="00E46B44"/>
    <w:p w:rsidR="00E46B44" w:rsidRDefault="00E46B44" w:rsidP="00E46B44">
      <w:r>
        <w:t>Non sono state programmate misure specifiche di semplificazione.</w:t>
      </w:r>
    </w:p>
    <w:p w:rsidR="00E46B44" w:rsidRDefault="00E46B44" w:rsidP="00E46B44"/>
    <w:p w:rsidR="00E46B44" w:rsidRDefault="00E46B44" w:rsidP="00E46B44">
      <w:pPr>
        <w:pStyle w:val="Titolo2"/>
      </w:pPr>
      <w:bookmarkStart w:id="36" w:name="_Toc56760980"/>
      <w:r>
        <w:lastRenderedPageBreak/>
        <w:t>Misure specifiche di formazione</w:t>
      </w:r>
      <w:bookmarkEnd w:id="36"/>
    </w:p>
    <w:p w:rsidR="00E46B44" w:rsidRDefault="00E46B44" w:rsidP="00E46B44"/>
    <w:p w:rsidR="00E46B44" w:rsidRDefault="00E46B44" w:rsidP="00E46B44">
      <w:r>
        <w:t>Con riferimento all’attuazione delle misure specifiche di formazione, nell’anno di riferimento delle misure di prevenzione della corruzione si evidenzia quanto segue:</w:t>
      </w:r>
      <w:r>
        <w:br/>
        <w:t xml:space="preserve">  -  Numero di misure programmate: 2</w:t>
      </w:r>
      <w:r>
        <w:br/>
        <w:t xml:space="preserve">  -  Numero di misure attuate nei tempi previsti: 1</w:t>
      </w:r>
      <w:r>
        <w:br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formazione non attuate si evidenzia che </w:t>
      </w:r>
      <w:r>
        <w:br/>
        <w:t xml:space="preserve">  -  per 1 misure non sono state ancora avviate le attività ma saranno avviate nei tempi previsti</w:t>
      </w:r>
      <w:r>
        <w:br/>
      </w:r>
      <w:r>
        <w:br/>
        <w:t xml:space="preserve">Di seguito si fornisce il dettaglio del monitoraggio per ogni singola misura di formazione programmata </w:t>
      </w:r>
      <w:r>
        <w:br/>
      </w:r>
      <w:r>
        <w:br/>
        <w:t>Area di rischio: D.3 Contratti pubblici - Selezione del contraente</w:t>
      </w:r>
      <w:r>
        <w:br/>
        <w:t>Denominazione misura: formazione specifica sui temi anticorruzione, sul whistleblowing, sull'accesso civico e sui conflitti di interesse</w:t>
      </w:r>
      <w:r>
        <w:br/>
        <w:t>La misura è stata attuata nei tempi previsti.</w:t>
      </w:r>
    </w:p>
    <w:p w:rsidR="00E46B44" w:rsidRDefault="00E46B44" w:rsidP="00E46B44"/>
    <w:p w:rsidR="00E46B44" w:rsidRDefault="00E46B44" w:rsidP="00380B17">
      <w:pPr>
        <w:pStyle w:val="Titolo2"/>
      </w:pPr>
      <w:bookmarkStart w:id="37" w:name="_Toc56760981"/>
      <w:r>
        <w:t>Misure specifiche di rotazione</w:t>
      </w:r>
      <w:bookmarkEnd w:id="37"/>
    </w:p>
    <w:p w:rsidR="00E46B44" w:rsidRDefault="00E46B44" w:rsidP="00E46B44"/>
    <w:p w:rsidR="00E46B44" w:rsidRDefault="00E46B44" w:rsidP="00E46B44">
      <w:r>
        <w:t>Non sono state programmate misure specifiche di rotazione.</w:t>
      </w:r>
    </w:p>
    <w:p w:rsidR="00E46B44" w:rsidRDefault="00E46B44" w:rsidP="00E46B44">
      <w:pPr>
        <w:rPr>
          <w:bCs/>
        </w:rPr>
      </w:pPr>
    </w:p>
    <w:p w:rsidR="00E46B44" w:rsidRDefault="00E46B44" w:rsidP="00380B17">
      <w:pPr>
        <w:pStyle w:val="Titolo2"/>
      </w:pPr>
      <w:bookmarkStart w:id="38" w:name="_Toc56760982"/>
      <w:r>
        <w:t>Misure specifiche di disciplina del conflitto di interessi</w:t>
      </w:r>
      <w:bookmarkEnd w:id="38"/>
    </w:p>
    <w:p w:rsidR="00E46B44" w:rsidRDefault="00E46B44" w:rsidP="00E46B44"/>
    <w:p w:rsidR="00E46B44" w:rsidRDefault="00E46B44" w:rsidP="00E46B44">
      <w:r>
        <w:t>Con riferimento all’attuazione delle misure specifiche di disciplina del conflitto di interessi, nell’anno di riferimento delle misure di prevenzione della corruzione si evidenzia quanto segue:</w:t>
      </w:r>
      <w:r>
        <w:br/>
        <w:t xml:space="preserve">  -  Numero di misure programmate: 2</w:t>
      </w:r>
      <w:r>
        <w:br/>
        <w:t xml:space="preserve">  -  Numero di misure attuate nei tempi previsti: 1</w:t>
      </w:r>
      <w:r>
        <w:br/>
        <w:t xml:space="preserve">  -  Numero di misure non attuate: 1</w:t>
      </w:r>
      <w:r>
        <w:br/>
        <w:t xml:space="preserve"> </w:t>
      </w:r>
      <w:r>
        <w:br/>
        <w:t xml:space="preserve">In particolare, per quanto riguarda le misure specifiche di disciplina del conflitto di interessi non attuate si evidenzia che </w:t>
      </w:r>
      <w:r>
        <w:br/>
        <w:t xml:space="preserve">  -  per 1 misure non sono state ancora avviate le attività ma saranno avviate nei tempi previsti</w:t>
      </w:r>
      <w:r>
        <w:br/>
      </w:r>
      <w:r>
        <w:br/>
        <w:t xml:space="preserve">Di seguito si fornisce il dettaglio del monitoraggio per ogni singola misura di disciplina del conflitto di interessi programmata </w:t>
      </w:r>
      <w:r>
        <w:br/>
      </w:r>
      <w:r>
        <w:br/>
        <w:t>Area di rischio: D.2 Contratti pubblici - Progettazione della gara</w:t>
      </w:r>
      <w:r>
        <w:br/>
        <w:t>Denominazione misura: misura relativa all'accertamento di potenziali conflitti di interesse da parte del RUP nelle procedure di affidamento, con acquisizione di apposita dichiarazione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misura relativa all'accertamento di potenziali conflitti di interesse da parte del RUP nelle procedure di affidamento, con acquisizione di apposita dichiarazione</w:t>
      </w:r>
      <w:r>
        <w:br/>
        <w:t>La misura è stata attuata nei tempi previsti.</w:t>
      </w:r>
    </w:p>
    <w:p w:rsidR="004126FE" w:rsidRDefault="004126FE" w:rsidP="004126FE"/>
    <w:p w:rsidR="004126FE" w:rsidRDefault="004126FE" w:rsidP="004126FE">
      <w:r>
        <w:t xml:space="preserve">Ascoli Piceno, </w:t>
      </w:r>
      <w:r>
        <w:t>20</w:t>
      </w:r>
      <w:r>
        <w:t xml:space="preserve"> dicembre 202</w:t>
      </w:r>
      <w:r>
        <w:t>1</w:t>
      </w:r>
      <w:r>
        <w:t>.</w:t>
      </w:r>
    </w:p>
    <w:p w:rsidR="004126FE" w:rsidRPr="0018644F" w:rsidRDefault="004126FE" w:rsidP="004126FE">
      <w:pPr>
        <w:ind w:left="5664"/>
        <w:jc w:val="center"/>
        <w:rPr>
          <w:sz w:val="20"/>
          <w:szCs w:val="20"/>
        </w:rPr>
      </w:pPr>
      <w:r w:rsidRPr="0018644F"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Pr="0018644F">
        <w:rPr>
          <w:sz w:val="20"/>
          <w:szCs w:val="20"/>
        </w:rPr>
        <w:t xml:space="preserve">Il Responsabile per la prevenzione </w:t>
      </w:r>
    </w:p>
    <w:p w:rsidR="004126FE" w:rsidRDefault="004126FE" w:rsidP="004126FE">
      <w:pPr>
        <w:ind w:left="5664" w:firstLine="708"/>
        <w:jc w:val="center"/>
        <w:rPr>
          <w:sz w:val="20"/>
          <w:szCs w:val="20"/>
        </w:rPr>
      </w:pPr>
      <w:proofErr w:type="gramStart"/>
      <w:r w:rsidRPr="0018644F">
        <w:rPr>
          <w:sz w:val="20"/>
          <w:szCs w:val="20"/>
        </w:rPr>
        <w:t>della</w:t>
      </w:r>
      <w:proofErr w:type="gramEnd"/>
      <w:r w:rsidRPr="0018644F">
        <w:rPr>
          <w:sz w:val="20"/>
          <w:szCs w:val="20"/>
        </w:rPr>
        <w:t xml:space="preserve"> corruzione e per la trasparenza</w:t>
      </w:r>
    </w:p>
    <w:p w:rsidR="004126FE" w:rsidRDefault="004126FE" w:rsidP="004126FE">
      <w:pPr>
        <w:ind w:left="5664" w:firstLine="709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B7B8BE6" wp14:editId="0DB2BCEA">
            <wp:extent cx="843566" cy="416510"/>
            <wp:effectExtent l="0" t="0" r="0" b="317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44" cy="4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FE" w:rsidRDefault="004126FE" w:rsidP="004126FE">
      <w:pPr>
        <w:ind w:left="5664" w:firstLine="709"/>
        <w:jc w:val="center"/>
        <w:rPr>
          <w:sz w:val="20"/>
          <w:szCs w:val="20"/>
        </w:rPr>
      </w:pPr>
      <w:r w:rsidRPr="0018644F">
        <w:rPr>
          <w:sz w:val="20"/>
          <w:szCs w:val="20"/>
        </w:rPr>
        <w:t>(Dott. Filippo Di Leonardo)</w:t>
      </w:r>
    </w:p>
    <w:p w:rsidR="004126FE" w:rsidRPr="0018644F" w:rsidRDefault="004126FE" w:rsidP="004126FE">
      <w:pPr>
        <w:ind w:left="5664" w:firstLine="709"/>
        <w:jc w:val="center"/>
        <w:rPr>
          <w:sz w:val="20"/>
          <w:szCs w:val="20"/>
        </w:rPr>
      </w:pPr>
    </w:p>
    <w:p w:rsidR="004126FE" w:rsidRDefault="004126FE" w:rsidP="004126FE"/>
    <w:p w:rsidR="004126FE" w:rsidRDefault="004126FE" w:rsidP="00E46B44"/>
    <w:sectPr w:rsidR="004126FE" w:rsidSect="0004795A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B57" w:rsidRDefault="000C6B57" w:rsidP="00424EBB">
      <w:r>
        <w:separator/>
      </w:r>
    </w:p>
  </w:endnote>
  <w:endnote w:type="continuationSeparator" w:id="0">
    <w:p w:rsidR="000C6B57" w:rsidRDefault="000C6B57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380B17" w:rsidRDefault="00380B17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380B17" w:rsidRDefault="00380B17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B17" w:rsidRPr="00380B17" w:rsidRDefault="00380B17" w:rsidP="00380B17">
    <w:pPr>
      <w:pStyle w:val="Pidipagina"/>
      <w:jc w:val="center"/>
      <w:rPr>
        <w:caps/>
      </w:rPr>
    </w:pPr>
    <w:r w:rsidRPr="00380B17">
      <w:rPr>
        <w:caps/>
      </w:rPr>
      <w:fldChar w:fldCharType="begin"/>
    </w:r>
    <w:r w:rsidRPr="00380B17">
      <w:rPr>
        <w:caps/>
      </w:rPr>
      <w:instrText>PAGE   \* MERGEFORMAT</w:instrText>
    </w:r>
    <w:r w:rsidRPr="00380B17">
      <w:rPr>
        <w:caps/>
      </w:rPr>
      <w:fldChar w:fldCharType="separate"/>
    </w:r>
    <w:r w:rsidR="004126FE">
      <w:rPr>
        <w:caps/>
        <w:noProof/>
      </w:rPr>
      <w:t>6</w:t>
    </w:r>
    <w:r w:rsidRPr="00380B17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B57" w:rsidRDefault="000C6B57" w:rsidP="00424EBB">
      <w:r>
        <w:separator/>
      </w:r>
    </w:p>
  </w:footnote>
  <w:footnote w:type="continuationSeparator" w:id="0">
    <w:p w:rsidR="000C6B57" w:rsidRDefault="000C6B57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7F6"/>
    <w:multiLevelType w:val="hybridMultilevel"/>
    <w:tmpl w:val="2CA87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0471"/>
    <w:multiLevelType w:val="hybridMultilevel"/>
    <w:tmpl w:val="00704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21436"/>
    <w:multiLevelType w:val="hybridMultilevel"/>
    <w:tmpl w:val="23B658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23CB5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32E1"/>
    <w:multiLevelType w:val="hybridMultilevel"/>
    <w:tmpl w:val="5524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F241E"/>
    <w:multiLevelType w:val="hybridMultilevel"/>
    <w:tmpl w:val="BCB4CDD8"/>
    <w:lvl w:ilvl="0" w:tplc="7D2EEE1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C0E3B"/>
    <w:multiLevelType w:val="hybridMultilevel"/>
    <w:tmpl w:val="28F6E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6D39"/>
    <w:multiLevelType w:val="hybridMultilevel"/>
    <w:tmpl w:val="E3CE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311E0AA0"/>
    <w:multiLevelType w:val="hybridMultilevel"/>
    <w:tmpl w:val="97D6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F7F"/>
    <w:multiLevelType w:val="hybridMultilevel"/>
    <w:tmpl w:val="77486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259AC"/>
    <w:multiLevelType w:val="hybridMultilevel"/>
    <w:tmpl w:val="3C108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D060B"/>
    <w:multiLevelType w:val="hybridMultilevel"/>
    <w:tmpl w:val="27346A0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30059"/>
    <w:multiLevelType w:val="multilevel"/>
    <w:tmpl w:val="DCE8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E5E"/>
    <w:multiLevelType w:val="hybridMultilevel"/>
    <w:tmpl w:val="5B8C66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049641E"/>
    <w:multiLevelType w:val="hybridMultilevel"/>
    <w:tmpl w:val="37B68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CF5383"/>
    <w:multiLevelType w:val="hybridMultilevel"/>
    <w:tmpl w:val="40F20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499F1F84"/>
    <w:multiLevelType w:val="hybridMultilevel"/>
    <w:tmpl w:val="7A94E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C782B"/>
    <w:multiLevelType w:val="hybridMultilevel"/>
    <w:tmpl w:val="C8A27F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DE280E"/>
    <w:multiLevelType w:val="hybridMultilevel"/>
    <w:tmpl w:val="D81C4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8276FD"/>
    <w:multiLevelType w:val="hybridMultilevel"/>
    <w:tmpl w:val="78E0AE50"/>
    <w:lvl w:ilvl="0" w:tplc="C8E0F13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DB1C92"/>
    <w:multiLevelType w:val="hybridMultilevel"/>
    <w:tmpl w:val="61ECF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791949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6"/>
  </w:num>
  <w:num w:numId="3">
    <w:abstractNumId w:val="44"/>
  </w:num>
  <w:num w:numId="4">
    <w:abstractNumId w:val="37"/>
  </w:num>
  <w:num w:numId="5">
    <w:abstractNumId w:val="13"/>
  </w:num>
  <w:num w:numId="6">
    <w:abstractNumId w:val="23"/>
  </w:num>
  <w:num w:numId="7">
    <w:abstractNumId w:val="7"/>
  </w:num>
  <w:num w:numId="8">
    <w:abstractNumId w:val="20"/>
  </w:num>
  <w:num w:numId="9">
    <w:abstractNumId w:val="5"/>
  </w:num>
  <w:num w:numId="10">
    <w:abstractNumId w:val="22"/>
  </w:num>
  <w:num w:numId="11">
    <w:abstractNumId w:val="4"/>
  </w:num>
  <w:num w:numId="12">
    <w:abstractNumId w:val="40"/>
  </w:num>
  <w:num w:numId="13">
    <w:abstractNumId w:val="12"/>
  </w:num>
  <w:num w:numId="14">
    <w:abstractNumId w:val="24"/>
  </w:num>
  <w:num w:numId="15">
    <w:abstractNumId w:val="10"/>
  </w:num>
  <w:num w:numId="16">
    <w:abstractNumId w:val="29"/>
  </w:num>
  <w:num w:numId="17">
    <w:abstractNumId w:val="25"/>
  </w:num>
  <w:num w:numId="18">
    <w:abstractNumId w:val="17"/>
  </w:num>
  <w:num w:numId="19">
    <w:abstractNumId w:val="43"/>
  </w:num>
  <w:num w:numId="20">
    <w:abstractNumId w:val="14"/>
  </w:num>
  <w:num w:numId="21">
    <w:abstractNumId w:val="36"/>
  </w:num>
  <w:num w:numId="22">
    <w:abstractNumId w:val="6"/>
  </w:num>
  <w:num w:numId="23">
    <w:abstractNumId w:val="21"/>
  </w:num>
  <w:num w:numId="24">
    <w:abstractNumId w:val="27"/>
  </w:num>
  <w:num w:numId="25">
    <w:abstractNumId w:val="19"/>
  </w:num>
  <w:num w:numId="26">
    <w:abstractNumId w:val="39"/>
  </w:num>
  <w:num w:numId="27">
    <w:abstractNumId w:val="35"/>
  </w:num>
  <w:num w:numId="28">
    <w:abstractNumId w:val="34"/>
  </w:num>
  <w:num w:numId="29">
    <w:abstractNumId w:val="28"/>
  </w:num>
  <w:num w:numId="30">
    <w:abstractNumId w:val="41"/>
  </w:num>
  <w:num w:numId="31">
    <w:abstractNumId w:val="9"/>
  </w:num>
  <w:num w:numId="32">
    <w:abstractNumId w:val="1"/>
  </w:num>
  <w:num w:numId="33">
    <w:abstractNumId w:val="8"/>
  </w:num>
  <w:num w:numId="34">
    <w:abstractNumId w:val="2"/>
  </w:num>
  <w:num w:numId="35">
    <w:abstractNumId w:val="15"/>
  </w:num>
  <w:num w:numId="36">
    <w:abstractNumId w:val="26"/>
  </w:num>
  <w:num w:numId="37">
    <w:abstractNumId w:val="0"/>
  </w:num>
  <w:num w:numId="38">
    <w:abstractNumId w:val="3"/>
  </w:num>
  <w:num w:numId="39">
    <w:abstractNumId w:val="18"/>
  </w:num>
  <w:num w:numId="40">
    <w:abstractNumId w:val="32"/>
  </w:num>
  <w:num w:numId="41">
    <w:abstractNumId w:val="38"/>
  </w:num>
  <w:num w:numId="42">
    <w:abstractNumId w:val="42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C3"/>
    <w:rsid w:val="00002043"/>
    <w:rsid w:val="00007458"/>
    <w:rsid w:val="000076D6"/>
    <w:rsid w:val="00013A0E"/>
    <w:rsid w:val="00025589"/>
    <w:rsid w:val="00030C47"/>
    <w:rsid w:val="000313A3"/>
    <w:rsid w:val="000409B8"/>
    <w:rsid w:val="000426E4"/>
    <w:rsid w:val="000442CB"/>
    <w:rsid w:val="00045E31"/>
    <w:rsid w:val="0004795A"/>
    <w:rsid w:val="000502F0"/>
    <w:rsid w:val="00050F7D"/>
    <w:rsid w:val="00053075"/>
    <w:rsid w:val="0006198E"/>
    <w:rsid w:val="00076A27"/>
    <w:rsid w:val="00076EAE"/>
    <w:rsid w:val="00082F11"/>
    <w:rsid w:val="000853EE"/>
    <w:rsid w:val="00090EDC"/>
    <w:rsid w:val="000A1E8A"/>
    <w:rsid w:val="000A5AE5"/>
    <w:rsid w:val="000B09AD"/>
    <w:rsid w:val="000B5396"/>
    <w:rsid w:val="000C2E6C"/>
    <w:rsid w:val="000C3E65"/>
    <w:rsid w:val="000C5548"/>
    <w:rsid w:val="000C6B57"/>
    <w:rsid w:val="000E0884"/>
    <w:rsid w:val="000E5907"/>
    <w:rsid w:val="0010188D"/>
    <w:rsid w:val="0010373D"/>
    <w:rsid w:val="00106422"/>
    <w:rsid w:val="0011180E"/>
    <w:rsid w:val="001202D6"/>
    <w:rsid w:val="00121F5F"/>
    <w:rsid w:val="00124B31"/>
    <w:rsid w:val="001617DC"/>
    <w:rsid w:val="00163130"/>
    <w:rsid w:val="0016579A"/>
    <w:rsid w:val="00167F5A"/>
    <w:rsid w:val="0017516A"/>
    <w:rsid w:val="001759A1"/>
    <w:rsid w:val="001760C6"/>
    <w:rsid w:val="00186D05"/>
    <w:rsid w:val="001A6E5F"/>
    <w:rsid w:val="001A7463"/>
    <w:rsid w:val="001B14E1"/>
    <w:rsid w:val="001B5821"/>
    <w:rsid w:val="001C0AD0"/>
    <w:rsid w:val="001C3418"/>
    <w:rsid w:val="001C5486"/>
    <w:rsid w:val="001D26AC"/>
    <w:rsid w:val="001D605A"/>
    <w:rsid w:val="001E3C1F"/>
    <w:rsid w:val="001F3A1E"/>
    <w:rsid w:val="001F4F31"/>
    <w:rsid w:val="001F7DF7"/>
    <w:rsid w:val="00214959"/>
    <w:rsid w:val="002205E8"/>
    <w:rsid w:val="00234BAF"/>
    <w:rsid w:val="00244756"/>
    <w:rsid w:val="00252986"/>
    <w:rsid w:val="00252BF1"/>
    <w:rsid w:val="0026292B"/>
    <w:rsid w:val="00271094"/>
    <w:rsid w:val="002751BC"/>
    <w:rsid w:val="00286E4E"/>
    <w:rsid w:val="00297E89"/>
    <w:rsid w:val="002A0EC3"/>
    <w:rsid w:val="002A40F1"/>
    <w:rsid w:val="002C0009"/>
    <w:rsid w:val="002C0AFB"/>
    <w:rsid w:val="002C2A45"/>
    <w:rsid w:val="002C4C91"/>
    <w:rsid w:val="002D7DE9"/>
    <w:rsid w:val="002E0B4A"/>
    <w:rsid w:val="002E3730"/>
    <w:rsid w:val="002E3AB5"/>
    <w:rsid w:val="002E546C"/>
    <w:rsid w:val="002F6925"/>
    <w:rsid w:val="003037AC"/>
    <w:rsid w:val="00304BBA"/>
    <w:rsid w:val="00315210"/>
    <w:rsid w:val="00315976"/>
    <w:rsid w:val="003266EA"/>
    <w:rsid w:val="00327AC7"/>
    <w:rsid w:val="003351F3"/>
    <w:rsid w:val="00345AF1"/>
    <w:rsid w:val="00353FB9"/>
    <w:rsid w:val="0035543D"/>
    <w:rsid w:val="00364749"/>
    <w:rsid w:val="00371349"/>
    <w:rsid w:val="00380B17"/>
    <w:rsid w:val="00381E9F"/>
    <w:rsid w:val="0038654E"/>
    <w:rsid w:val="003865DA"/>
    <w:rsid w:val="00390AB2"/>
    <w:rsid w:val="0039275F"/>
    <w:rsid w:val="00393E5A"/>
    <w:rsid w:val="00396E39"/>
    <w:rsid w:val="003A0907"/>
    <w:rsid w:val="003A1D43"/>
    <w:rsid w:val="003B2D0F"/>
    <w:rsid w:val="003C0D8A"/>
    <w:rsid w:val="003C2497"/>
    <w:rsid w:val="003C308C"/>
    <w:rsid w:val="003D41BD"/>
    <w:rsid w:val="003E3B09"/>
    <w:rsid w:val="003F5208"/>
    <w:rsid w:val="003F76F0"/>
    <w:rsid w:val="00402654"/>
    <w:rsid w:val="004126FE"/>
    <w:rsid w:val="00414096"/>
    <w:rsid w:val="00415712"/>
    <w:rsid w:val="00420A12"/>
    <w:rsid w:val="00422962"/>
    <w:rsid w:val="00424EBB"/>
    <w:rsid w:val="00425435"/>
    <w:rsid w:val="00432C8F"/>
    <w:rsid w:val="004474B0"/>
    <w:rsid w:val="0044789A"/>
    <w:rsid w:val="00474398"/>
    <w:rsid w:val="00483A57"/>
    <w:rsid w:val="0048717B"/>
    <w:rsid w:val="00490FA5"/>
    <w:rsid w:val="004921F6"/>
    <w:rsid w:val="00495505"/>
    <w:rsid w:val="004960B4"/>
    <w:rsid w:val="004A21A7"/>
    <w:rsid w:val="004B5C97"/>
    <w:rsid w:val="004C59E0"/>
    <w:rsid w:val="004D7221"/>
    <w:rsid w:val="004E4A13"/>
    <w:rsid w:val="004E7C55"/>
    <w:rsid w:val="004F0FA6"/>
    <w:rsid w:val="004F567A"/>
    <w:rsid w:val="00526AFF"/>
    <w:rsid w:val="00532C1C"/>
    <w:rsid w:val="00553787"/>
    <w:rsid w:val="005612C0"/>
    <w:rsid w:val="00573C15"/>
    <w:rsid w:val="005745AF"/>
    <w:rsid w:val="0057461B"/>
    <w:rsid w:val="0057770A"/>
    <w:rsid w:val="0057783A"/>
    <w:rsid w:val="00577960"/>
    <w:rsid w:val="0059258E"/>
    <w:rsid w:val="005A1288"/>
    <w:rsid w:val="005A393B"/>
    <w:rsid w:val="005A68A9"/>
    <w:rsid w:val="005B0828"/>
    <w:rsid w:val="005B20C9"/>
    <w:rsid w:val="005C449E"/>
    <w:rsid w:val="005C5D6A"/>
    <w:rsid w:val="005D6F2E"/>
    <w:rsid w:val="005E08B4"/>
    <w:rsid w:val="005E1A7D"/>
    <w:rsid w:val="005E5682"/>
    <w:rsid w:val="005E5AA8"/>
    <w:rsid w:val="005F30C7"/>
    <w:rsid w:val="00611EB0"/>
    <w:rsid w:val="00626361"/>
    <w:rsid w:val="0063048C"/>
    <w:rsid w:val="006313B1"/>
    <w:rsid w:val="00631725"/>
    <w:rsid w:val="00643BCE"/>
    <w:rsid w:val="006448E6"/>
    <w:rsid w:val="006460DC"/>
    <w:rsid w:val="00646AA2"/>
    <w:rsid w:val="00651A97"/>
    <w:rsid w:val="0065277A"/>
    <w:rsid w:val="006527DA"/>
    <w:rsid w:val="00661F28"/>
    <w:rsid w:val="0066646A"/>
    <w:rsid w:val="00677090"/>
    <w:rsid w:val="00687B10"/>
    <w:rsid w:val="00690435"/>
    <w:rsid w:val="00692002"/>
    <w:rsid w:val="0069341C"/>
    <w:rsid w:val="00693843"/>
    <w:rsid w:val="006A67D1"/>
    <w:rsid w:val="006D3C1D"/>
    <w:rsid w:val="006D748D"/>
    <w:rsid w:val="006E15E6"/>
    <w:rsid w:val="006E5641"/>
    <w:rsid w:val="006E6889"/>
    <w:rsid w:val="006F1CD0"/>
    <w:rsid w:val="006F503B"/>
    <w:rsid w:val="006F62FF"/>
    <w:rsid w:val="006F6C25"/>
    <w:rsid w:val="006F7329"/>
    <w:rsid w:val="007327A8"/>
    <w:rsid w:val="0073409C"/>
    <w:rsid w:val="00751486"/>
    <w:rsid w:val="007526CD"/>
    <w:rsid w:val="007578F5"/>
    <w:rsid w:val="00760D24"/>
    <w:rsid w:val="00762757"/>
    <w:rsid w:val="0076725D"/>
    <w:rsid w:val="0077339F"/>
    <w:rsid w:val="00781E8B"/>
    <w:rsid w:val="00783149"/>
    <w:rsid w:val="00786819"/>
    <w:rsid w:val="00792E03"/>
    <w:rsid w:val="007A09A7"/>
    <w:rsid w:val="007A3BAC"/>
    <w:rsid w:val="007A4563"/>
    <w:rsid w:val="007A4B63"/>
    <w:rsid w:val="007A755F"/>
    <w:rsid w:val="007B1F5D"/>
    <w:rsid w:val="007B4261"/>
    <w:rsid w:val="007D2B12"/>
    <w:rsid w:val="007D3B4C"/>
    <w:rsid w:val="007D65E3"/>
    <w:rsid w:val="007E5878"/>
    <w:rsid w:val="007F4D58"/>
    <w:rsid w:val="00800E37"/>
    <w:rsid w:val="00804DC2"/>
    <w:rsid w:val="008348FB"/>
    <w:rsid w:val="0083587B"/>
    <w:rsid w:val="00835EB6"/>
    <w:rsid w:val="0083766D"/>
    <w:rsid w:val="00843542"/>
    <w:rsid w:val="00846D97"/>
    <w:rsid w:val="008665D0"/>
    <w:rsid w:val="008720AB"/>
    <w:rsid w:val="0087364D"/>
    <w:rsid w:val="00874237"/>
    <w:rsid w:val="00884807"/>
    <w:rsid w:val="008B01CC"/>
    <w:rsid w:val="008B0566"/>
    <w:rsid w:val="008B7936"/>
    <w:rsid w:val="008C5207"/>
    <w:rsid w:val="008C5B4F"/>
    <w:rsid w:val="008C66E1"/>
    <w:rsid w:val="008D1456"/>
    <w:rsid w:val="008D7462"/>
    <w:rsid w:val="008E2FFA"/>
    <w:rsid w:val="008E5190"/>
    <w:rsid w:val="008F3C77"/>
    <w:rsid w:val="008F7F05"/>
    <w:rsid w:val="00901517"/>
    <w:rsid w:val="00912D48"/>
    <w:rsid w:val="0092051A"/>
    <w:rsid w:val="00926CEC"/>
    <w:rsid w:val="009325E5"/>
    <w:rsid w:val="009348D6"/>
    <w:rsid w:val="00936A6B"/>
    <w:rsid w:val="00945379"/>
    <w:rsid w:val="0094645F"/>
    <w:rsid w:val="0094698A"/>
    <w:rsid w:val="009723F0"/>
    <w:rsid w:val="0097533D"/>
    <w:rsid w:val="009759B1"/>
    <w:rsid w:val="00981C8D"/>
    <w:rsid w:val="009823DB"/>
    <w:rsid w:val="00984E52"/>
    <w:rsid w:val="0098728A"/>
    <w:rsid w:val="00987E9D"/>
    <w:rsid w:val="009905FD"/>
    <w:rsid w:val="00990875"/>
    <w:rsid w:val="00991AAD"/>
    <w:rsid w:val="00992ECA"/>
    <w:rsid w:val="0099383A"/>
    <w:rsid w:val="00995656"/>
    <w:rsid w:val="00997BF2"/>
    <w:rsid w:val="009A1E60"/>
    <w:rsid w:val="009A72FE"/>
    <w:rsid w:val="009F4219"/>
    <w:rsid w:val="009F58C8"/>
    <w:rsid w:val="00A037CB"/>
    <w:rsid w:val="00A1700F"/>
    <w:rsid w:val="00A2153D"/>
    <w:rsid w:val="00A23C10"/>
    <w:rsid w:val="00A248DD"/>
    <w:rsid w:val="00A24EAB"/>
    <w:rsid w:val="00A26648"/>
    <w:rsid w:val="00A33658"/>
    <w:rsid w:val="00A33FC4"/>
    <w:rsid w:val="00A4159B"/>
    <w:rsid w:val="00A43515"/>
    <w:rsid w:val="00A4435A"/>
    <w:rsid w:val="00A452C6"/>
    <w:rsid w:val="00A46036"/>
    <w:rsid w:val="00A71E4C"/>
    <w:rsid w:val="00A82AEF"/>
    <w:rsid w:val="00A910EB"/>
    <w:rsid w:val="00AA00F7"/>
    <w:rsid w:val="00AA13A7"/>
    <w:rsid w:val="00AA4CDD"/>
    <w:rsid w:val="00AA64F3"/>
    <w:rsid w:val="00AA758A"/>
    <w:rsid w:val="00AB44C8"/>
    <w:rsid w:val="00AB564E"/>
    <w:rsid w:val="00AB5F06"/>
    <w:rsid w:val="00AE54CB"/>
    <w:rsid w:val="00AF1CFF"/>
    <w:rsid w:val="00AF74A7"/>
    <w:rsid w:val="00B02123"/>
    <w:rsid w:val="00B0359D"/>
    <w:rsid w:val="00B057F9"/>
    <w:rsid w:val="00B15C70"/>
    <w:rsid w:val="00B172B4"/>
    <w:rsid w:val="00B2414B"/>
    <w:rsid w:val="00B24BA1"/>
    <w:rsid w:val="00B25688"/>
    <w:rsid w:val="00B32D94"/>
    <w:rsid w:val="00B339EB"/>
    <w:rsid w:val="00B36318"/>
    <w:rsid w:val="00B3649E"/>
    <w:rsid w:val="00B37073"/>
    <w:rsid w:val="00B37B9B"/>
    <w:rsid w:val="00B43CD5"/>
    <w:rsid w:val="00B50D70"/>
    <w:rsid w:val="00B559B4"/>
    <w:rsid w:val="00B613CC"/>
    <w:rsid w:val="00B71A3D"/>
    <w:rsid w:val="00B7719E"/>
    <w:rsid w:val="00B803B8"/>
    <w:rsid w:val="00B96D6A"/>
    <w:rsid w:val="00BA0D1F"/>
    <w:rsid w:val="00BA2140"/>
    <w:rsid w:val="00BB2FAB"/>
    <w:rsid w:val="00BC0BA9"/>
    <w:rsid w:val="00BC118B"/>
    <w:rsid w:val="00BD2256"/>
    <w:rsid w:val="00BD2990"/>
    <w:rsid w:val="00BD52B3"/>
    <w:rsid w:val="00BE39BE"/>
    <w:rsid w:val="00BE6A7A"/>
    <w:rsid w:val="00BF1D64"/>
    <w:rsid w:val="00BF47F7"/>
    <w:rsid w:val="00C16C8B"/>
    <w:rsid w:val="00C2322D"/>
    <w:rsid w:val="00C24FE3"/>
    <w:rsid w:val="00C31231"/>
    <w:rsid w:val="00C431C9"/>
    <w:rsid w:val="00C436EC"/>
    <w:rsid w:val="00C531CD"/>
    <w:rsid w:val="00C55DD2"/>
    <w:rsid w:val="00C567A0"/>
    <w:rsid w:val="00C60C9A"/>
    <w:rsid w:val="00C636E8"/>
    <w:rsid w:val="00C719DC"/>
    <w:rsid w:val="00C7442D"/>
    <w:rsid w:val="00C74F37"/>
    <w:rsid w:val="00C81D68"/>
    <w:rsid w:val="00C81DD0"/>
    <w:rsid w:val="00C8223C"/>
    <w:rsid w:val="00C829E4"/>
    <w:rsid w:val="00CB6B78"/>
    <w:rsid w:val="00CB7058"/>
    <w:rsid w:val="00CC0101"/>
    <w:rsid w:val="00CC02B3"/>
    <w:rsid w:val="00CC0F49"/>
    <w:rsid w:val="00CC7F54"/>
    <w:rsid w:val="00CD59D3"/>
    <w:rsid w:val="00CE0B56"/>
    <w:rsid w:val="00CE2494"/>
    <w:rsid w:val="00CF2A06"/>
    <w:rsid w:val="00CF37C4"/>
    <w:rsid w:val="00CF525B"/>
    <w:rsid w:val="00CF5910"/>
    <w:rsid w:val="00CF69FB"/>
    <w:rsid w:val="00D02990"/>
    <w:rsid w:val="00D1161C"/>
    <w:rsid w:val="00D117F3"/>
    <w:rsid w:val="00D227B7"/>
    <w:rsid w:val="00D24EEA"/>
    <w:rsid w:val="00D313A4"/>
    <w:rsid w:val="00D31887"/>
    <w:rsid w:val="00D352E2"/>
    <w:rsid w:val="00D355A4"/>
    <w:rsid w:val="00D51AFF"/>
    <w:rsid w:val="00D6373C"/>
    <w:rsid w:val="00D67140"/>
    <w:rsid w:val="00D73977"/>
    <w:rsid w:val="00D75085"/>
    <w:rsid w:val="00D76FA5"/>
    <w:rsid w:val="00D858A5"/>
    <w:rsid w:val="00D866D2"/>
    <w:rsid w:val="00D87F57"/>
    <w:rsid w:val="00D946D6"/>
    <w:rsid w:val="00DB33E6"/>
    <w:rsid w:val="00DB4FC6"/>
    <w:rsid w:val="00DB62FF"/>
    <w:rsid w:val="00DB73E1"/>
    <w:rsid w:val="00DC2BAB"/>
    <w:rsid w:val="00DC6B4F"/>
    <w:rsid w:val="00DD3A19"/>
    <w:rsid w:val="00DD4529"/>
    <w:rsid w:val="00DD5395"/>
    <w:rsid w:val="00DD6527"/>
    <w:rsid w:val="00DE2A92"/>
    <w:rsid w:val="00DE3223"/>
    <w:rsid w:val="00DE4350"/>
    <w:rsid w:val="00DE59C3"/>
    <w:rsid w:val="00DE67A4"/>
    <w:rsid w:val="00DF06C3"/>
    <w:rsid w:val="00DF1025"/>
    <w:rsid w:val="00DF5CF1"/>
    <w:rsid w:val="00E0612A"/>
    <w:rsid w:val="00E12944"/>
    <w:rsid w:val="00E14E76"/>
    <w:rsid w:val="00E27F25"/>
    <w:rsid w:val="00E32EE5"/>
    <w:rsid w:val="00E422F7"/>
    <w:rsid w:val="00E43272"/>
    <w:rsid w:val="00E46B44"/>
    <w:rsid w:val="00E61F2F"/>
    <w:rsid w:val="00E66D94"/>
    <w:rsid w:val="00E75EA4"/>
    <w:rsid w:val="00E80390"/>
    <w:rsid w:val="00E81316"/>
    <w:rsid w:val="00E85C95"/>
    <w:rsid w:val="00E85D64"/>
    <w:rsid w:val="00E90418"/>
    <w:rsid w:val="00E918CE"/>
    <w:rsid w:val="00E939AF"/>
    <w:rsid w:val="00EA4532"/>
    <w:rsid w:val="00EB2FD4"/>
    <w:rsid w:val="00EB5EE3"/>
    <w:rsid w:val="00ED1C10"/>
    <w:rsid w:val="00EE28F4"/>
    <w:rsid w:val="00EE4DA4"/>
    <w:rsid w:val="00EE6B22"/>
    <w:rsid w:val="00EF1E74"/>
    <w:rsid w:val="00EF3921"/>
    <w:rsid w:val="00EF5780"/>
    <w:rsid w:val="00F124D4"/>
    <w:rsid w:val="00F1772E"/>
    <w:rsid w:val="00F24FA0"/>
    <w:rsid w:val="00F30A9E"/>
    <w:rsid w:val="00F34EA1"/>
    <w:rsid w:val="00F4041B"/>
    <w:rsid w:val="00F43658"/>
    <w:rsid w:val="00F44674"/>
    <w:rsid w:val="00F54ABD"/>
    <w:rsid w:val="00F54F1D"/>
    <w:rsid w:val="00F61DB1"/>
    <w:rsid w:val="00F67C1C"/>
    <w:rsid w:val="00F768B2"/>
    <w:rsid w:val="00F83AFA"/>
    <w:rsid w:val="00F96FBD"/>
    <w:rsid w:val="00FA0DD7"/>
    <w:rsid w:val="00FA0E5E"/>
    <w:rsid w:val="00FA4EE0"/>
    <w:rsid w:val="00FB03D8"/>
    <w:rsid w:val="00FB28A5"/>
    <w:rsid w:val="00FB3D4B"/>
    <w:rsid w:val="00FB4B8A"/>
    <w:rsid w:val="00FB676F"/>
    <w:rsid w:val="00FB7747"/>
    <w:rsid w:val="00FC1197"/>
    <w:rsid w:val="00FC199D"/>
    <w:rsid w:val="00FC322A"/>
    <w:rsid w:val="00FC395C"/>
    <w:rsid w:val="00FD28DF"/>
    <w:rsid w:val="00FD414A"/>
    <w:rsid w:val="00FE291E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A3F15-771B-4EF8-A5A8-97AEB5B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5207"/>
    <w:pPr>
      <w:keepNext/>
      <w:keepLines/>
      <w:numPr>
        <w:numId w:val="47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7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74F37"/>
    <w:pPr>
      <w:keepNext/>
      <w:keepLines/>
      <w:numPr>
        <w:ilvl w:val="2"/>
        <w:numId w:val="47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0B17"/>
    <w:pPr>
      <w:keepNext/>
      <w:keepLines/>
      <w:numPr>
        <w:ilvl w:val="3"/>
        <w:numId w:val="4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80B17"/>
    <w:pPr>
      <w:keepNext/>
      <w:keepLines/>
      <w:numPr>
        <w:ilvl w:val="4"/>
        <w:numId w:val="47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80B17"/>
    <w:pPr>
      <w:keepNext/>
      <w:keepLines/>
      <w:numPr>
        <w:ilvl w:val="5"/>
        <w:numId w:val="4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80B17"/>
    <w:pPr>
      <w:keepNext/>
      <w:keepLines/>
      <w:numPr>
        <w:ilvl w:val="6"/>
        <w:numId w:val="4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80B17"/>
    <w:pPr>
      <w:keepNext/>
      <w:keepLines/>
      <w:numPr>
        <w:ilvl w:val="7"/>
        <w:numId w:val="4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80B17"/>
    <w:pPr>
      <w:keepNext/>
      <w:keepLines/>
      <w:numPr>
        <w:ilvl w:val="8"/>
        <w:numId w:val="4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8C520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D3B4C"/>
    <w:pPr>
      <w:spacing w:before="120"/>
    </w:pPr>
    <w:rPr>
      <w:b/>
      <w:bCs/>
      <w:i/>
      <w:iCs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C436EC"/>
    <w:pPr>
      <w:spacing w:after="200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262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C74F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8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8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8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8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8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8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80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4A1398-6F33-41CF-9053-6CF4BACD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Filippo</cp:lastModifiedBy>
  <cp:revision>3</cp:revision>
  <dcterms:created xsi:type="dcterms:W3CDTF">2021-12-15T09:35:00Z</dcterms:created>
  <dcterms:modified xsi:type="dcterms:W3CDTF">2021-12-15T09:53:00Z</dcterms:modified>
</cp:coreProperties>
</file>